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14144D" w:rsidR="009C2F8D" w:rsidP="00353926" w:rsidRDefault="00180219" w14:paraId="6B88459C" w14:textId="7484B875">
      <w:pPr>
        <w:pStyle w:val="Normal1"/>
        <w:jc w:val="both"/>
        <w:rPr>
          <w:rFonts w:ascii="Georgia" w:hAnsi="Georgia" w:eastAsia="Garamond" w:cs="Garamond"/>
          <w:b/>
        </w:rPr>
      </w:pPr>
      <w:r w:rsidRPr="0014144D">
        <w:rPr>
          <w:rFonts w:ascii="Georgia" w:hAnsi="Georgia" w:eastAsia="Garamond" w:cs="Garamond"/>
          <w:b/>
        </w:rPr>
        <w:t xml:space="preserve">The Infodemic, </w:t>
      </w:r>
      <w:r w:rsidRPr="0014144D" w:rsidR="009C2F8D">
        <w:rPr>
          <w:rFonts w:ascii="Georgia" w:hAnsi="Georgia" w:eastAsia="Garamond" w:cs="Garamond"/>
          <w:b/>
        </w:rPr>
        <w:t>Epistemic Exclusion</w:t>
      </w:r>
      <w:r w:rsidRPr="0014144D" w:rsidR="00BF3984">
        <w:rPr>
          <w:rFonts w:ascii="Georgia" w:hAnsi="Georgia" w:eastAsia="Garamond" w:cs="Garamond"/>
          <w:b/>
        </w:rPr>
        <w:t xml:space="preserve"> in Science Communication</w:t>
      </w:r>
      <w:r w:rsidRPr="0014144D">
        <w:rPr>
          <w:rFonts w:ascii="Georgia" w:hAnsi="Georgia" w:eastAsia="Garamond" w:cs="Garamond"/>
          <w:b/>
        </w:rPr>
        <w:t>,</w:t>
      </w:r>
      <w:r w:rsidRPr="0014144D" w:rsidR="009C2F8D">
        <w:rPr>
          <w:rFonts w:ascii="Georgia" w:hAnsi="Georgia" w:eastAsia="Garamond" w:cs="Garamond"/>
          <w:b/>
        </w:rPr>
        <w:t xml:space="preserve"> and Distrust in </w:t>
      </w:r>
      <w:r w:rsidRPr="0014144D" w:rsidR="006413FB">
        <w:rPr>
          <w:rFonts w:ascii="Georgia" w:hAnsi="Georgia" w:eastAsia="Garamond" w:cs="Garamond"/>
          <w:b/>
        </w:rPr>
        <w:t xml:space="preserve">Scientific </w:t>
      </w:r>
      <w:r w:rsidRPr="0014144D" w:rsidR="009C2F8D">
        <w:rPr>
          <w:rFonts w:ascii="Georgia" w:hAnsi="Georgia" w:eastAsia="Garamond" w:cs="Garamond"/>
          <w:b/>
        </w:rPr>
        <w:t>Expertise</w:t>
      </w:r>
    </w:p>
    <w:p w:rsidRPr="0014144D" w:rsidR="009C2F8D" w:rsidP="00353926" w:rsidRDefault="009C2F8D" w14:paraId="60134173" w14:textId="77777777">
      <w:pPr>
        <w:pStyle w:val="Normal1"/>
        <w:jc w:val="both"/>
        <w:rPr>
          <w:rFonts w:ascii="Georgia" w:hAnsi="Georgia" w:eastAsia="Garamond" w:cs="Garamond"/>
          <w:bCs/>
        </w:rPr>
      </w:pPr>
    </w:p>
    <w:p w:rsidRPr="0014144D" w:rsidR="009C2F8D" w:rsidP="00353926" w:rsidRDefault="009C2F8D" w14:paraId="1FE6B34A" w14:textId="345B86A0">
      <w:pPr>
        <w:pStyle w:val="Normal1"/>
        <w:jc w:val="both"/>
        <w:rPr>
          <w:rFonts w:ascii="Georgia" w:hAnsi="Georgia" w:eastAsia="Garamond" w:cs="Garamond"/>
          <w:bCs/>
        </w:rPr>
      </w:pPr>
      <w:r w:rsidRPr="0014144D">
        <w:rPr>
          <w:rFonts w:ascii="Georgia" w:hAnsi="Georgia" w:eastAsia="Garamond" w:cs="Garamond"/>
          <w:bCs/>
        </w:rPr>
        <w:t>Mona Simion</w:t>
      </w:r>
      <w:r w:rsidR="00292D78">
        <w:rPr>
          <w:rFonts w:ascii="Georgia" w:hAnsi="Georgia" w:eastAsia="Garamond" w:cs="Garamond"/>
          <w:bCs/>
        </w:rPr>
        <w:t xml:space="preserve"> and Josephine Adekola</w:t>
      </w:r>
    </w:p>
    <w:p w:rsidR="009C2F8D" w:rsidP="00353926" w:rsidRDefault="009C2F8D" w14:paraId="1489E3B3" w14:textId="77777777">
      <w:pPr>
        <w:pStyle w:val="Normal1"/>
        <w:jc w:val="both"/>
        <w:rPr>
          <w:rFonts w:ascii="Georgia" w:hAnsi="Georgia" w:eastAsia="Garamond" w:cs="Garamond"/>
          <w:b/>
        </w:rPr>
      </w:pPr>
    </w:p>
    <w:p w:rsidR="003D5F42" w:rsidP="00353926" w:rsidRDefault="003D5F42" w14:paraId="7BBC701A" w14:textId="77777777">
      <w:pPr>
        <w:pStyle w:val="Normal1"/>
        <w:jc w:val="both"/>
        <w:rPr>
          <w:rFonts w:ascii="Georgia" w:hAnsi="Georgia" w:eastAsia="Garamond" w:cs="Garamond"/>
          <w:b/>
        </w:rPr>
      </w:pPr>
    </w:p>
    <w:p w:rsidR="00777E6F" w:rsidP="00353926" w:rsidRDefault="00777E6F" w14:paraId="4C48C357" w14:textId="708AD938">
      <w:pPr>
        <w:pStyle w:val="Normal1"/>
        <w:jc w:val="both"/>
        <w:rPr>
          <w:rFonts w:ascii="Georgia" w:hAnsi="Georgia" w:eastAsia="Garamond" w:cs="Garamond"/>
          <w:b/>
        </w:rPr>
      </w:pPr>
      <w:r>
        <w:rPr>
          <w:rFonts w:ascii="Georgia" w:hAnsi="Georgia" w:eastAsia="Garamond" w:cs="Garamond"/>
          <w:b/>
        </w:rPr>
        <w:t>Abstract</w:t>
      </w:r>
    </w:p>
    <w:p w:rsidR="00777E6F" w:rsidP="00353926" w:rsidRDefault="00777E6F" w14:paraId="63495501" w14:textId="77777777">
      <w:pPr>
        <w:pStyle w:val="Normal1"/>
        <w:jc w:val="both"/>
        <w:rPr>
          <w:rFonts w:ascii="Georgia" w:hAnsi="Georgia" w:eastAsia="Garamond" w:cs="Garamond"/>
          <w:b/>
        </w:rPr>
      </w:pPr>
    </w:p>
    <w:p w:rsidRPr="00AF3C8C" w:rsidR="00777E6F" w:rsidP="6993879A" w:rsidRDefault="00777E6F" w14:paraId="16B4BCDA" w14:textId="7D055643">
      <w:pPr>
        <w:jc w:val="both"/>
        <w:rPr>
          <w:rFonts w:ascii="Georgia" w:hAnsi="Georgia" w:eastAsia="Garamond" w:cs="Garamond"/>
          <w:lang w:val="en-US"/>
        </w:rPr>
      </w:pPr>
      <w:r w:rsidRPr="6993879A" w:rsidR="6993879A">
        <w:rPr>
          <w:rFonts w:ascii="Georgia" w:hAnsi="Georgia"/>
          <w:lang w:val="en-US"/>
        </w:rPr>
        <w:t>T</w:t>
      </w:r>
      <w:r w:rsidRPr="6993879A" w:rsidR="6993879A">
        <w:rPr>
          <w:rFonts w:ascii="Georgia" w:hAnsi="Georgia"/>
          <w:lang w:val="en-US"/>
        </w:rPr>
        <w:t>rust in experts and institutions is declining</w:t>
      </w:r>
      <w:r w:rsidRPr="6993879A" w:rsidR="6993879A">
        <w:rPr>
          <w:rFonts w:ascii="Georgia" w:hAnsi="Georgia"/>
          <w:lang w:val="en-US"/>
        </w:rPr>
        <w:t>.</w:t>
      </w:r>
      <w:r w:rsidRPr="6993879A" w:rsidR="6993879A">
        <w:rPr>
          <w:rFonts w:ascii="Georgia" w:hAnsi="Georgia"/>
          <w:lang w:val="en-US"/>
        </w:rPr>
        <w:t xml:space="preserve"> In order to interrogate this, we must distinguish between, on one hand, irrational responses to otherwise trustworthy institutions, and, on the other hand, rational responses to evidence of institutional untrustworthiness. </w:t>
      </w:r>
      <w:r w:rsidRPr="6993879A" w:rsidR="6993879A">
        <w:rPr>
          <w:rFonts w:ascii="Georgia" w:hAnsi="Georgia" w:eastAsia="Times New Roman"/>
          <w:color w:val="000000" w:themeColor="text1" w:themeTint="FF" w:themeShade="FF"/>
          <w:lang w:val="en-US" w:eastAsia="en-GB"/>
        </w:rPr>
        <w:t xml:space="preserve">In this paper we do two things: first, we briefly review </w:t>
      </w:r>
      <w:r w:rsidRPr="6993879A" w:rsidR="6993879A">
        <w:rPr>
          <w:rFonts w:ascii="Georgia" w:hAnsi="Georgia" w:eastAsia="Times New Roman"/>
          <w:color w:val="000000" w:themeColor="text1" w:themeTint="FF" w:themeShade="FF"/>
          <w:lang w:val="en-US" w:eastAsia="en-GB"/>
        </w:rPr>
        <w:t xml:space="preserve">some </w:t>
      </w:r>
      <w:r w:rsidRPr="6993879A" w:rsidR="6993879A">
        <w:rPr>
          <w:rFonts w:ascii="Georgia" w:hAnsi="Georgia" w:eastAsia="Times New Roman"/>
          <w:color w:val="000000" w:themeColor="text1" w:themeTint="FF" w:themeShade="FF"/>
          <w:lang w:val="en-US" w:eastAsia="en-GB"/>
        </w:rPr>
        <w:t xml:space="preserve">recent socio-psychological results brought to explain </w:t>
      </w:r>
      <w:r w:rsidRPr="6993879A" w:rsidR="6993879A">
        <w:rPr>
          <w:rFonts w:ascii="Georgia" w:hAnsi="Georgia" w:eastAsia="Times New Roman"/>
          <w:color w:val="000000" w:themeColor="text1" w:themeTint="FF" w:themeShade="FF"/>
          <w:lang w:val="en-US" w:eastAsia="en-GB"/>
        </w:rPr>
        <w:t>increasing distrust in expertise</w:t>
      </w:r>
      <w:r w:rsidRPr="6993879A" w:rsidR="6993879A">
        <w:rPr>
          <w:rFonts w:ascii="Georgia" w:hAnsi="Georgia" w:eastAsia="Times New Roman"/>
          <w:color w:val="000000" w:themeColor="text1" w:themeTint="FF" w:themeShade="FF"/>
          <w:lang w:val="en-US" w:eastAsia="en-GB"/>
        </w:rPr>
        <w:t>, and show that the explanations on offer suffer from two main weaknesses: the underlying conceptual frameworks are deficient, and the</w:t>
      </w:r>
      <w:r w:rsidRPr="6993879A" w:rsidR="6993879A">
        <w:rPr>
          <w:rFonts w:ascii="Georgia" w:hAnsi="Georgia" w:eastAsia="Times New Roman"/>
          <w:color w:val="000000" w:themeColor="text1" w:themeTint="FF" w:themeShade="FF"/>
          <w:lang w:val="en-US" w:eastAsia="en-GB"/>
        </w:rPr>
        <w:t xml:space="preserve"> hypotheses put forth</w:t>
      </w:r>
      <w:r w:rsidRPr="6993879A" w:rsidR="6993879A">
        <w:rPr>
          <w:rFonts w:ascii="Georgia" w:hAnsi="Georgia" w:eastAsia="Times New Roman"/>
          <w:color w:val="000000" w:themeColor="text1" w:themeTint="FF" w:themeShade="FF"/>
          <w:lang w:val="en-US" w:eastAsia="en-GB"/>
        </w:rPr>
        <w:t xml:space="preserve"> have low prior plausibility, in that they imply highly implausible levels and spread of epistemic and practical irrationality. Second, </w:t>
      </w:r>
      <w:r w:rsidRPr="6993879A" w:rsidR="6993879A">
        <w:rPr>
          <w:rFonts w:ascii="Georgia" w:hAnsi="Georgia" w:eastAsia="Garamond" w:cs="Garamond"/>
          <w:lang w:val="en-US"/>
        </w:rPr>
        <w:t xml:space="preserve">we argue for an alternative hypothesis: often, </w:t>
      </w:r>
      <w:r w:rsidRPr="6993879A" w:rsidR="6993879A">
        <w:rPr>
          <w:rFonts w:ascii="Georgia" w:hAnsi="Georgia" w:eastAsia="Garamond" w:cs="Garamond"/>
          <w:lang w:val="en-US"/>
        </w:rPr>
        <w:t>distrust in expertise</w:t>
      </w:r>
      <w:r w:rsidRPr="6993879A" w:rsidR="6993879A">
        <w:rPr>
          <w:rFonts w:ascii="Georgia" w:hAnsi="Georgia" w:eastAsia="Garamond" w:cs="Garamond"/>
          <w:lang w:val="en-US"/>
        </w:rPr>
        <w:t xml:space="preserve"> is the result of </w:t>
      </w:r>
      <w:r w:rsidRPr="6993879A" w:rsidR="6993879A">
        <w:rPr>
          <w:rFonts w:ascii="Georgia" w:hAnsi="Georgia" w:eastAsia="Garamond" w:cs="Garamond"/>
          <w:lang w:val="en-US"/>
        </w:rPr>
        <w:t>unjust hearer epistemic exclusion. This form of injustice occurs in cases in which</w:t>
      </w:r>
      <w:r w:rsidRPr="6993879A" w:rsidR="6993879A">
        <w:rPr>
          <w:rFonts w:ascii="Georgia" w:hAnsi="Georgia" w:eastAsia="Garamond" w:cs="Garamond"/>
          <w:lang w:val="en-US"/>
        </w:rPr>
        <w:t>, intentionally or negligently,</w:t>
      </w:r>
      <w:r w:rsidRPr="6993879A" w:rsidR="6993879A">
        <w:rPr>
          <w:rFonts w:ascii="Georgia" w:hAnsi="Georgia" w:eastAsia="Garamond" w:cs="Garamond"/>
          <w:lang w:val="en-US"/>
        </w:rPr>
        <w:t xml:space="preserve"> hearers</w:t>
      </w:r>
      <w:r w:rsidRPr="6993879A" w:rsidR="6993879A">
        <w:rPr>
          <w:rFonts w:ascii="Georgia" w:hAnsi="Georgia" w:eastAsia="Garamond" w:cs="Garamond"/>
          <w:lang w:val="en-US"/>
        </w:rPr>
        <w:t xml:space="preserve"> </w:t>
      </w:r>
      <w:r w:rsidRPr="6993879A" w:rsidR="6993879A">
        <w:rPr>
          <w:rFonts w:ascii="Georgia" w:hAnsi="Georgia" w:eastAsia="Garamond" w:cs="Garamond"/>
          <w:lang w:val="en-US"/>
        </w:rPr>
        <w:t>are not put in a position to come to know the content of the performed speech act.</w:t>
      </w:r>
      <w:r w:rsidRPr="6993879A" w:rsidR="6993879A">
        <w:rPr>
          <w:rFonts w:ascii="Georgia" w:hAnsi="Georgia" w:eastAsia="Times New Roman"/>
          <w:color w:val="000000" w:themeColor="text1" w:themeTint="FF" w:themeShade="FF"/>
          <w:lang w:val="en-US" w:eastAsia="en-GB"/>
        </w:rPr>
        <w:t xml:space="preserve"> </w:t>
      </w:r>
    </w:p>
    <w:p w:rsidRPr="0014144D" w:rsidR="00777E6F" w:rsidP="00353926" w:rsidRDefault="00777E6F" w14:paraId="61C326CF" w14:textId="77777777">
      <w:pPr>
        <w:pStyle w:val="Normal1"/>
        <w:jc w:val="both"/>
        <w:rPr>
          <w:rFonts w:ascii="Georgia" w:hAnsi="Georgia" w:eastAsia="Garamond" w:cs="Garamond"/>
          <w:b/>
        </w:rPr>
      </w:pPr>
    </w:p>
    <w:p w:rsidRPr="0014144D" w:rsidR="007F0453" w:rsidP="00353926" w:rsidRDefault="007F0453" w14:paraId="32ECFD10" w14:textId="77777777">
      <w:pPr>
        <w:pStyle w:val="Normal1"/>
        <w:jc w:val="both"/>
        <w:rPr>
          <w:rFonts w:ascii="Georgia" w:hAnsi="Georgia" w:eastAsia="Garamond" w:cs="Garamond"/>
          <w:b/>
        </w:rPr>
      </w:pPr>
    </w:p>
    <w:p w:rsidRPr="0014144D" w:rsidR="00AD0B35" w:rsidP="00353926" w:rsidRDefault="009C2F8D" w14:paraId="7D39EC48" w14:textId="00ABD51E">
      <w:pPr>
        <w:pStyle w:val="Normal1"/>
        <w:jc w:val="both"/>
        <w:rPr>
          <w:rFonts w:ascii="Georgia" w:hAnsi="Georgia" w:eastAsia="Garamond" w:cs="Garamond"/>
          <w:b/>
        </w:rPr>
      </w:pPr>
      <w:r w:rsidRPr="0014144D">
        <w:rPr>
          <w:rFonts w:ascii="Georgia" w:hAnsi="Georgia" w:eastAsia="Garamond" w:cs="Garamond"/>
          <w:b/>
        </w:rPr>
        <w:t xml:space="preserve">1. </w:t>
      </w:r>
      <w:r w:rsidRPr="0014144D" w:rsidR="002E0229">
        <w:rPr>
          <w:rFonts w:ascii="Georgia" w:hAnsi="Georgia" w:eastAsia="Garamond" w:cs="Garamond"/>
          <w:b/>
        </w:rPr>
        <w:t xml:space="preserve"> Introduction</w:t>
      </w:r>
    </w:p>
    <w:p w:rsidRPr="0014144D" w:rsidR="00292405" w:rsidP="00353926" w:rsidRDefault="00292405" w14:paraId="4CC5DB82" w14:textId="77777777">
      <w:pPr>
        <w:pStyle w:val="Normal1"/>
        <w:jc w:val="both"/>
        <w:rPr>
          <w:rFonts w:ascii="Georgia" w:hAnsi="Georgia" w:eastAsia="Garamond" w:cs="Garamond"/>
        </w:rPr>
      </w:pPr>
    </w:p>
    <w:p w:rsidRPr="00E50408" w:rsidR="002158A2" w:rsidP="6993879A" w:rsidRDefault="0014144D" w14:paraId="3826DE30" w14:textId="5B59AA8F">
      <w:pPr>
        <w:jc w:val="both"/>
        <w:rPr>
          <w:rFonts w:ascii="Georgia" w:hAnsi="Georgia"/>
          <w:lang w:val="en-US"/>
        </w:rPr>
      </w:pPr>
      <w:r w:rsidRPr="6993879A">
        <w:rPr>
          <w:rFonts w:ascii="Georgia" w:hAnsi="Georgia"/>
          <w:lang w:val="en-US"/>
        </w:rPr>
        <w:t>Knowledge is our ultimate resource:</w:t>
      </w:r>
      <w:r w:rsidRPr="6993879A">
        <w:rPr>
          <w:rFonts w:ascii="Georgia" w:hAnsi="Georgia"/>
          <w:highlight w:val="white"/>
          <w:lang w:val="en-US"/>
        </w:rPr>
        <w:t xml:space="preserve"> it enables us to understand and successfully navigate the world. Today, our knowledge is under threat. </w:t>
      </w:r>
      <w:r w:rsidRPr="6993879A">
        <w:rPr>
          <w:rFonts w:ascii="Georgia" w:hAnsi="Georgia"/>
          <w:lang w:val="en-US"/>
        </w:rPr>
        <w:t>We are facing a global knowledge crisis that the United Nations has deemed to be ‘an existential threat to humanity,’</w:t>
      </w:r>
      <w:r w:rsidRPr="6993879A" w:rsidR="002158A2">
        <w:rPr>
          <w:rStyle w:val="EndnoteReference"/>
          <w:rFonts w:ascii="Georgia" w:hAnsi="Georgia"/>
          <w:lang w:val="en-US"/>
        </w:rPr>
        <w:endnoteReference w:id="1"/>
      </w:r>
      <w:r w:rsidRPr="6993879A" w:rsidR="002158A2">
        <w:rPr>
          <w:rFonts w:ascii="Georgia" w:hAnsi="Georgia"/>
          <w:lang w:val="en-US"/>
        </w:rPr>
        <w:t xml:space="preserve"> and that the World Health Organization has declared an ‘infodemic.’</w:t>
      </w:r>
      <w:r w:rsidRPr="6993879A" w:rsidR="002158A2">
        <w:rPr>
          <w:rStyle w:val="EndnoteReference"/>
          <w:rFonts w:ascii="Georgia" w:hAnsi="Georgia"/>
          <w:lang w:val="en-US"/>
        </w:rPr>
        <w:endnoteReference w:id="2"/>
      </w:r>
      <w:r w:rsidRPr="6993879A" w:rsidR="002158A2">
        <w:rPr>
          <w:rFonts w:ascii="Georgia" w:hAnsi="Georgia"/>
          <w:lang w:val="en-US"/>
        </w:rPr>
        <w:t xml:space="preserve"> This is an epistemic crisis: it is a crisis threatening our knowledge, the rationality of our beliefs and decisions, and the resilience of our trust networks, </w:t>
      </w:r>
      <w:r w:rsidRPr="6993879A" w:rsidR="002158A2">
        <w:rPr>
          <w:rFonts w:ascii="Georgia" w:hAnsi="Georgia"/>
          <w:color w:val="000000"/>
          <w:shd w:val="clear" w:color="auto" w:fill="FFFFFF"/>
          <w:lang w:val="en-US"/>
        </w:rPr>
        <w:t>affecting</w:t>
      </w:r>
      <w:r w:rsidRPr="6993879A" w:rsidR="002158A2">
        <w:rPr>
          <w:rFonts w:ascii="Georgia" w:hAnsi="Georgia" w:eastAsia="Times New Roman"/>
          <w:color w:val="242424"/>
          <w:lang w:val="en-US"/>
        </w:rPr>
        <w:t xml:space="preserve"> our </w:t>
      </w:r>
      <w:r w:rsidRPr="6993879A" w:rsidR="002158A2">
        <w:rPr>
          <w:rFonts w:ascii="Georgia" w:hAnsi="Georgia" w:eastAsia="Times New Roman"/>
          <w:color w:val="242424"/>
          <w:lang w:val="en-US"/>
        </w:rPr>
        <w:t xml:space="preserve">personal and societal </w:t>
      </w:r>
      <w:r w:rsidRPr="6993879A" w:rsidR="002158A2">
        <w:rPr>
          <w:rFonts w:ascii="Georgia" w:hAnsi="Georgia" w:eastAsia="Times New Roman"/>
          <w:color w:val="242424"/>
          <w:lang w:val="en-US"/>
        </w:rPr>
        <w:t>wellbeing and the stability of our democracies</w:t>
      </w:r>
      <w:r w:rsidRPr="6993879A" w:rsidR="002158A2">
        <w:rPr>
          <w:rFonts w:ascii="Georgia" w:hAnsi="Georgia"/>
          <w:lang w:val="en-US"/>
        </w:rPr>
        <w:t>. It is rooted in two main, mutually reinforcing knowledge threats: first, the rising resistance to evidence and distrust in expertise</w:t>
      </w:r>
      <w:r w:rsidRPr="6993879A" w:rsidR="002158A2">
        <w:rPr>
          <w:rFonts w:ascii="Georgia" w:hAnsi="Georgia"/>
          <w:lang w:val="en-US"/>
        </w:rPr>
        <w:t xml:space="preserve"> (Simion 2024a)</w:t>
      </w:r>
      <w:r w:rsidRPr="6993879A" w:rsidR="002158A2">
        <w:rPr>
          <w:rFonts w:ascii="Georgia" w:hAnsi="Georgia"/>
          <w:lang w:val="en-US"/>
        </w:rPr>
        <w:t>;</w:t>
      </w:r>
      <w:r w:rsidRPr="6993879A" w:rsidR="002158A2">
        <w:rPr>
          <w:rFonts w:ascii="Georgia" w:hAnsi="Georgia"/>
          <w:vertAlign w:val="superscript"/>
          <w:lang w:val="en-US"/>
        </w:rPr>
        <w:t xml:space="preserve"> </w:t>
      </w:r>
      <w:r w:rsidRPr="6993879A" w:rsidR="002158A2">
        <w:rPr>
          <w:rFonts w:ascii="Georgia" w:hAnsi="Georgia"/>
          <w:lang w:val="en-US"/>
        </w:rPr>
        <w:t>second, the widespread sharing of misinformation, accelerated by recent technological advances. Crucially, these two major threats are not independent from each other</w:t>
      </w:r>
      <w:r w:rsidRPr="6993879A" w:rsidR="002158A2">
        <w:rPr>
          <w:rFonts w:ascii="Georgia" w:hAnsi="Georgia"/>
          <w:lang w:val="en-US"/>
        </w:rPr>
        <w:t xml:space="preserve"> (Ecker et al.2002)</w:t>
      </w:r>
      <w:r w:rsidRPr="6993879A" w:rsidR="002158A2">
        <w:rPr>
          <w:rFonts w:ascii="Georgia" w:hAnsi="Georgia"/>
          <w:lang w:val="en-US"/>
        </w:rPr>
        <w:t>: distrust in expertise is amplified by the availability of misleading evidence, and disinformation campaigns are more efficient when there is no trusted expertise to rely on. Furthermore, this crisis is underpinned by a deep-seated epistemic problem: our cognitive systems and social reliance mechanisms struggle to adapt to our complex and polluted information environment</w:t>
      </w:r>
      <w:r w:rsidRPr="6993879A" w:rsidR="002158A2">
        <w:rPr>
          <w:rFonts w:ascii="Georgia" w:hAnsi="Georgia"/>
          <w:lang w:val="en-US"/>
        </w:rPr>
        <w:t xml:space="preserve"> (Korte 2020)</w:t>
      </w:r>
      <w:r w:rsidRPr="6993879A" w:rsidR="002158A2">
        <w:rPr>
          <w:rFonts w:ascii="Georgia" w:hAnsi="Georgia"/>
          <w:lang w:val="en-US"/>
        </w:rPr>
        <w:t xml:space="preserve">. Since our cognitive and social capacities have not evolved to perform well in the high-density, high-choice information environment that we now inhabit, they have difficulties coping: we do not know whom and what to trust, how to update our beliefs in light of the overwhelming influx of information and misinformation, and how to engage in epistemically responsible inquiry. The current knowledge crisis is, thus, the result of a complex epistemic interplay between our cognitive capacities and the rapidly evolving </w:t>
      </w:r>
      <w:r w:rsidRPr="6993879A" w:rsidR="002158A2">
        <w:rPr>
          <w:rFonts w:ascii="Georgia" w:hAnsi="Georgia"/>
          <w:lang w:val="en-US"/>
        </w:rPr>
        <w:t>landscape of social and political interaction, technology, and the flow of information.</w:t>
      </w:r>
    </w:p>
    <w:p w:rsidRPr="00AF3C8C" w:rsidR="002158A2" w:rsidP="6993879A" w:rsidRDefault="002158A2" w14:paraId="55D9CD8D" w14:textId="6733D71A">
      <w:pPr>
        <w:ind w:firstLine="720"/>
        <w:jc w:val="both"/>
        <w:rPr>
          <w:rFonts w:ascii="Georgia" w:hAnsi="Georgia" w:eastAsia="Garamond" w:cs="Garamond"/>
          <w:lang w:val="en-US"/>
        </w:rPr>
      </w:pPr>
      <w:r w:rsidRPr="6993879A">
        <w:rPr>
          <w:rFonts w:ascii="Georgia" w:hAnsi="Georgia"/>
          <w:lang w:val="en-US"/>
        </w:rPr>
        <w:t>It is public knowledge that trust in experts and institutions is declining.</w:t>
      </w:r>
      <w:r w:rsidRPr="6993879A">
        <w:rPr>
          <w:rStyle w:val="EndnoteReference"/>
          <w:rFonts w:ascii="Georgia" w:hAnsi="Georgia"/>
          <w:lang w:val="en-US"/>
        </w:rPr>
        <w:endnoteReference w:id="3"/>
      </w:r>
      <w:r w:rsidRPr="6993879A">
        <w:rPr>
          <w:rFonts w:ascii="Georgia" w:hAnsi="Georgia"/>
          <w:lang w:val="en-US"/>
        </w:rPr>
        <w:t xml:space="preserve"> In order to interrogate this, we must distinguish between, on one hand, irrational responses to otherwise trustworthy institutions, and, on the other hand, rational responses to evidence of institutional untrustworthiness. </w:t>
      </w:r>
      <w:r w:rsidRPr="6993879A">
        <w:rPr>
          <w:rFonts w:ascii="Georgia" w:hAnsi="Georgia" w:eastAsia="Times New Roman"/>
          <w:color w:val="000000" w:themeColor="text1"/>
          <w:lang w:val="en-US" w:eastAsia="en-GB"/>
        </w:rPr>
        <w:t xml:space="preserve">In this paper we do two things: first, we briefly review relevant recent </w:t>
      </w:r>
      <w:r w:rsidRPr="6993879A">
        <w:rPr>
          <w:rFonts w:ascii="Georgia" w:hAnsi="Georgia" w:eastAsia="Times New Roman"/>
          <w:color w:val="000000" w:themeColor="text1"/>
          <w:lang w:val="en-US" w:eastAsia="en-GB"/>
        </w:rPr>
        <w:t xml:space="preserve">socio-psychological results brought to explain </w:t>
      </w:r>
      <w:r w:rsidRPr="6993879A">
        <w:rPr>
          <w:rFonts w:ascii="Georgia" w:hAnsi="Georgia" w:eastAsia="Times New Roman"/>
          <w:color w:val="000000" w:themeColor="text1"/>
          <w:lang w:val="en-US" w:eastAsia="en-GB"/>
        </w:rPr>
        <w:t>increasing distrust in expertise</w:t>
      </w:r>
      <w:r w:rsidRPr="6993879A">
        <w:rPr>
          <w:rFonts w:ascii="Georgia" w:hAnsi="Georgia" w:eastAsia="Times New Roman"/>
          <w:color w:val="000000" w:themeColor="text1"/>
          <w:lang w:val="en-US" w:eastAsia="en-GB"/>
        </w:rPr>
        <w:t>, and show that the explanations on offer suffer from two main weaknesses: the underlying conceptual frameworks are deficient, and the</w:t>
      </w:r>
      <w:r w:rsidRPr="6993879A">
        <w:rPr>
          <w:rFonts w:ascii="Georgia" w:hAnsi="Georgia" w:eastAsia="Times New Roman"/>
          <w:color w:val="000000" w:themeColor="text1"/>
          <w:lang w:val="en-US" w:eastAsia="en-GB"/>
        </w:rPr>
        <w:t xml:space="preserve"> hypotheses put forth</w:t>
      </w:r>
      <w:r w:rsidRPr="6993879A">
        <w:rPr>
          <w:rFonts w:ascii="Georgia" w:hAnsi="Georgia" w:eastAsia="Times New Roman"/>
          <w:color w:val="000000" w:themeColor="text1"/>
          <w:lang w:val="en-US" w:eastAsia="en-GB"/>
        </w:rPr>
        <w:t xml:space="preserve"> have low prior plausibility, in that they imply highly implausible levels and spread of epistemic and practical irrationality. Second, </w:t>
      </w:r>
      <w:r w:rsidRPr="6993879A">
        <w:rPr>
          <w:rFonts w:ascii="Georgia" w:hAnsi="Georgia" w:eastAsia="Garamond" w:cs="Garamond"/>
          <w:lang w:val="en-US"/>
        </w:rPr>
        <w:t>we argue for an alternative hypothesis: often, the infodemic is the result of a mostly ignored variety of epistemic in</w:t>
      </w:r>
      <w:r w:rsidRPr="6993879A">
        <w:rPr>
          <w:rFonts w:ascii="Georgia" w:hAnsi="Georgia" w:eastAsia="Garamond" w:cs="Garamond"/>
          <w:lang w:val="en-US"/>
        </w:rPr>
        <w:t xml:space="preserve">justice: unjust hearer epistemic exclusion. This is an underexplored form of injustice (Fricker 2007, Simion 2019a) perpetrated by speakers on hearers in their capacity as knowers; it occurs in cases in which hearers are unjustly excluded </w:t>
      </w:r>
      <w:r w:rsidRPr="6993879A">
        <w:rPr>
          <w:rFonts w:ascii="Georgia" w:hAnsi="Georgia" w:eastAsia="Garamond" w:cs="Garamond"/>
          <w:lang w:val="en-US"/>
        </w:rPr>
        <w:t xml:space="preserve">(intentionally or unintentinally/negligently) </w:t>
      </w:r>
      <w:r w:rsidRPr="6993879A">
        <w:rPr>
          <w:rFonts w:ascii="Georgia" w:hAnsi="Georgia" w:eastAsia="Garamond" w:cs="Garamond"/>
          <w:lang w:val="en-US"/>
        </w:rPr>
        <w:t>from the receiving  audience of a particular speech act via epistemic or conceptual tools which make it so that they are not put in a position to come to know the content of the performed speech act.</w:t>
      </w:r>
      <w:r w:rsidRPr="6993879A">
        <w:rPr>
          <w:rStyle w:val="EndnoteReference"/>
          <w:rFonts w:ascii="Georgia" w:hAnsi="Georgia" w:eastAsia="Garamond" w:cs="Garamond"/>
          <w:lang w:val="en-US"/>
        </w:rPr>
        <w:endnoteReference w:id="4"/>
      </w:r>
      <w:r w:rsidRPr="6993879A">
        <w:rPr>
          <w:rFonts w:ascii="Georgia" w:hAnsi="Georgia" w:eastAsia="Times New Roman"/>
          <w:color w:val="000000" w:themeColor="text1"/>
          <w:lang w:val="en-US" w:eastAsia="en-GB"/>
        </w:rPr>
        <w:t xml:space="preserve"> Finally, we employ a case study to support our hypothesis. We focus on the case of low vaccine uptake in African, Carribean, and Black (ACB) communities in Scotland. </w:t>
      </w:r>
      <w:r w:rsidRPr="6993879A">
        <w:rPr>
          <w:rFonts w:ascii="Georgia" w:hAnsi="Georgia" w:eastAsia="Garamond" w:cs="Garamond"/>
          <w:lang w:val="en-US"/>
        </w:rPr>
        <w:t xml:space="preserve">Although data showig that  vaccine uptake is distinctively low among ACB communities is not new, our research is the first to combine statistical and theoretical analyses to provide an understanding of the root cause of this phenomenon. </w:t>
      </w:r>
    </w:p>
    <w:p w:rsidR="002158A2" w:rsidP="003D5F42" w:rsidRDefault="002158A2" w14:paraId="35C25923" w14:textId="77777777">
      <w:pPr>
        <w:jc w:val="both"/>
        <w:rPr>
          <w:rFonts w:ascii="Georgia" w:hAnsi="Georgia" w:eastAsia="Times New Roman"/>
          <w:color w:val="000000" w:themeColor="text1"/>
          <w:lang w:eastAsia="en-GB"/>
        </w:rPr>
      </w:pPr>
    </w:p>
    <w:p w:rsidRPr="0014144D" w:rsidR="002158A2" w:rsidP="003D5F42" w:rsidRDefault="002158A2" w14:paraId="5FF59F94" w14:textId="77777777">
      <w:pPr>
        <w:jc w:val="both"/>
        <w:rPr>
          <w:rFonts w:ascii="Georgia" w:hAnsi="Georgia" w:eastAsia="Times New Roman"/>
          <w:color w:val="000000" w:themeColor="text1"/>
          <w:lang w:eastAsia="en-GB"/>
        </w:rPr>
      </w:pPr>
    </w:p>
    <w:p w:rsidRPr="0014144D" w:rsidR="002158A2" w:rsidP="00353926" w:rsidRDefault="002158A2" w14:paraId="1C284825" w14:textId="4111D772">
      <w:pPr>
        <w:jc w:val="both"/>
        <w:rPr>
          <w:rFonts w:ascii="Georgia" w:hAnsi="Georgia" w:eastAsia="Times New Roman"/>
          <w:b/>
          <w:bCs/>
          <w:color w:val="000000" w:themeColor="text1"/>
          <w:lang w:eastAsia="en-GB"/>
        </w:rPr>
      </w:pPr>
      <w:r w:rsidRPr="0014144D">
        <w:rPr>
          <w:rFonts w:ascii="Georgia" w:hAnsi="Georgia" w:eastAsia="Times New Roman"/>
          <w:b/>
          <w:bCs/>
          <w:color w:val="000000" w:themeColor="text1"/>
          <w:lang w:eastAsia="en-GB"/>
        </w:rPr>
        <w:t>2. The Widespread Irrationality Hypothesis</w:t>
      </w:r>
    </w:p>
    <w:p w:rsidRPr="0014144D" w:rsidR="002158A2" w:rsidP="00353926" w:rsidRDefault="002158A2" w14:paraId="139D20BC" w14:textId="77777777">
      <w:pPr>
        <w:jc w:val="both"/>
        <w:rPr>
          <w:rFonts w:ascii="Georgia" w:hAnsi="Georgia" w:eastAsia="Times New Roman"/>
          <w:color w:val="000000" w:themeColor="text1"/>
          <w:lang w:eastAsia="en-GB"/>
        </w:rPr>
      </w:pPr>
    </w:p>
    <w:p w:rsidRPr="0014144D" w:rsidR="002158A2" w:rsidP="6993879A" w:rsidRDefault="002158A2" w14:paraId="59EBD989" w14:textId="58F386E3">
      <w:pPr>
        <w:jc w:val="both"/>
        <w:rPr>
          <w:rFonts w:ascii="Georgia" w:hAnsi="Georgia" w:eastAsia="Times New Roman"/>
          <w:color w:val="000000" w:themeColor="text1"/>
          <w:lang w:val="en-US" w:eastAsia="en-GB"/>
        </w:rPr>
      </w:pPr>
      <w:r w:rsidRPr="6993879A" w:rsidR="6993879A">
        <w:rPr>
          <w:rFonts w:ascii="Georgia" w:hAnsi="Georgia" w:eastAsia="Times New Roman"/>
          <w:color w:val="000000" w:themeColor="text1" w:themeTint="FF" w:themeShade="FF"/>
          <w:lang w:val="en-US" w:eastAsia="en-GB"/>
        </w:rPr>
        <w:t xml:space="preserve">Extant results in </w:t>
      </w:r>
      <w:r w:rsidRPr="6993879A" w:rsidR="6993879A">
        <w:rPr>
          <w:rFonts w:ascii="Georgia" w:hAnsi="Georgia" w:eastAsia="Times New Roman"/>
          <w:color w:val="000000" w:themeColor="text1" w:themeTint="FF" w:themeShade="FF"/>
          <w:lang w:val="en-US" w:eastAsia="en-GB"/>
        </w:rPr>
        <w:t xml:space="preserve">the </w:t>
      </w:r>
      <w:r w:rsidRPr="6993879A" w:rsidR="6993879A">
        <w:rPr>
          <w:rFonts w:ascii="Georgia" w:hAnsi="Georgia" w:eastAsia="Times New Roman"/>
          <w:color w:val="000000" w:themeColor="text1" w:themeTint="FF" w:themeShade="FF"/>
          <w:lang w:val="en-US" w:eastAsia="en-GB"/>
        </w:rPr>
        <w:t xml:space="preserve">social psychology </w:t>
      </w:r>
      <w:r w:rsidRPr="6993879A" w:rsidR="6993879A">
        <w:rPr>
          <w:rFonts w:ascii="Georgia" w:hAnsi="Georgia" w:eastAsia="Times New Roman"/>
          <w:color w:val="000000" w:themeColor="text1" w:themeTint="FF" w:themeShade="FF"/>
          <w:lang w:val="en-US" w:eastAsia="en-GB"/>
        </w:rPr>
        <w:t xml:space="preserve">of distrust in expertise </w:t>
      </w:r>
      <w:r w:rsidRPr="6993879A" w:rsidR="6993879A">
        <w:rPr>
          <w:rFonts w:ascii="Georgia" w:hAnsi="Georgia" w:eastAsia="Times New Roman"/>
          <w:color w:val="000000" w:themeColor="text1" w:themeTint="FF" w:themeShade="FF"/>
          <w:lang w:val="en-US" w:eastAsia="en-GB"/>
        </w:rPr>
        <w:t>give little reason for optimism (Simion 2024</w:t>
      </w:r>
      <w:r w:rsidRPr="6993879A" w:rsidR="6993879A">
        <w:rPr>
          <w:rFonts w:ascii="Georgia" w:hAnsi="Georgia" w:eastAsia="Times New Roman"/>
          <w:color w:val="000000" w:themeColor="text1" w:themeTint="FF" w:themeShade="FF"/>
          <w:lang w:val="en-US" w:eastAsia="en-GB"/>
        </w:rPr>
        <w:t>a, 2024b</w:t>
      </w:r>
      <w:r w:rsidRPr="6993879A" w:rsidR="6993879A">
        <w:rPr>
          <w:rFonts w:ascii="Georgia" w:hAnsi="Georgia" w:eastAsia="Times New Roman"/>
          <w:color w:val="000000" w:themeColor="text1" w:themeTint="FF" w:themeShade="FF"/>
          <w:lang w:val="en-US" w:eastAsia="en-GB"/>
        </w:rPr>
        <w:t xml:space="preserve">). A dominant hypothesis (e.g. Kahan 2013; 2016; Lord, Ross, and Lepper 1979; Molden and Higgins 2012; Taber and Lodge 2006) principally explains the data underlying </w:t>
      </w:r>
      <w:r w:rsidRPr="6993879A" w:rsidR="6993879A">
        <w:rPr>
          <w:rFonts w:ascii="Georgia" w:hAnsi="Georgia" w:eastAsia="Times New Roman"/>
          <w:color w:val="000000" w:themeColor="text1" w:themeTint="FF" w:themeShade="FF"/>
          <w:lang w:val="en-US" w:eastAsia="en-GB"/>
        </w:rPr>
        <w:t>scientific knowledge resistance</w:t>
      </w:r>
      <w:r w:rsidRPr="6993879A" w:rsidR="6993879A">
        <w:rPr>
          <w:rFonts w:ascii="Georgia" w:hAnsi="Georgia" w:eastAsia="Times New Roman"/>
          <w:color w:val="000000" w:themeColor="text1" w:themeTint="FF" w:themeShade="FF"/>
          <w:lang w:val="en-US" w:eastAsia="en-GB"/>
        </w:rPr>
        <w:t xml:space="preserve"> with reference to widely spread irrational beliefs arrived at via politically motivated reasoning. Under the banner of this wider hypothesis, we find various research results that have been taken, in various ways, to support the view that a thinker’s prior political convictions (including politically directed desires and attitudes about political group-membership) best explain why they are inclined to reject expert consensus on matters of fact when they do (Kahan 2013, Kahan et al. 2011). On this account, then, e.g. low vaccine uptake will be associated with a political identity that is such constituted that vaccine scepticism gets thumbs up.</w:t>
      </w:r>
    </w:p>
    <w:p w:rsidRPr="0014144D" w:rsidR="002158A2" w:rsidP="00353926" w:rsidRDefault="002158A2" w14:paraId="30CC5381" w14:textId="4EABDB83">
      <w:pPr>
        <w:pStyle w:val="NormalWeb"/>
        <w:spacing w:before="0" w:beforeAutospacing="0" w:after="0" w:afterAutospacing="0" w:line="276" w:lineRule="auto"/>
        <w:ind w:firstLine="720"/>
        <w:jc w:val="both"/>
        <w:rPr>
          <w:rFonts w:ascii="Georgia" w:hAnsi="Georgia"/>
          <w:sz w:val="22"/>
          <w:szCs w:val="22"/>
        </w:rPr>
      </w:pPr>
      <w:r w:rsidRPr="0014144D">
        <w:rPr>
          <w:rFonts w:ascii="Georgia" w:hAnsi="Georgia"/>
          <w:sz w:val="22"/>
          <w:szCs w:val="22"/>
        </w:rPr>
        <w:t xml:space="preserve">Early studies in the psychological literature that set the groundwork for this explanatory thesis focused initially on how political ideology influences </w:t>
      </w:r>
      <w:r>
        <w:rPr>
          <w:rFonts w:ascii="Georgia" w:hAnsi="Georgia"/>
          <w:sz w:val="22"/>
          <w:szCs w:val="22"/>
        </w:rPr>
        <w:t xml:space="preserve">the </w:t>
      </w:r>
      <w:r w:rsidRPr="0014144D">
        <w:rPr>
          <w:rFonts w:ascii="Georgia" w:hAnsi="Georgia"/>
          <w:sz w:val="22"/>
          <w:szCs w:val="22"/>
        </w:rPr>
        <w:t xml:space="preserve">evaluation of evidence. For example, Lord, Ross, and Lepper (1979) report a study in which subjects were provided with the same set of arguments for and against capital punishment and were asked to assess the strength of these arguments. Subjects’ assessment of the strength of the arguments then strongly correlated with their existing views about the rights and wrongs of capital punishment. In short, subjects </w:t>
      </w:r>
      <w:r w:rsidRPr="0014144D">
        <w:rPr>
          <w:rFonts w:ascii="Georgia" w:hAnsi="Georgia"/>
          <w:i/>
          <w:iCs/>
          <w:sz w:val="22"/>
          <w:szCs w:val="22"/>
        </w:rPr>
        <w:t>already disposed</w:t>
      </w:r>
      <w:r w:rsidRPr="0014144D">
        <w:rPr>
          <w:rFonts w:ascii="Georgia" w:hAnsi="Georgia"/>
          <w:sz w:val="22"/>
          <w:szCs w:val="22"/>
        </w:rPr>
        <w:t xml:space="preserve"> to object to capital punishment were more persuaded by the arguments against it, and the opposite was the case for those initially predisposed to favour capital punishment. (See also </w:t>
      </w:r>
      <w:r w:rsidRPr="0014144D">
        <w:rPr>
          <w:rFonts w:ascii="Georgia" w:hAnsi="Georgia"/>
          <w:sz w:val="22"/>
          <w:szCs w:val="22"/>
          <w:bdr w:val="none" w:color="auto" w:sz="0" w:space="0" w:frame="1"/>
        </w:rPr>
        <w:t>Kunda 1987 for discussion of how political ideology seems to have a bearing on causal inference patterns).</w:t>
      </w:r>
    </w:p>
    <w:p w:rsidRPr="0014144D" w:rsidR="002158A2" w:rsidP="00353926" w:rsidRDefault="002158A2" w14:paraId="29AC5388" w14:textId="4F664C46">
      <w:pPr>
        <w:pStyle w:val="NormalWeb"/>
        <w:spacing w:before="0" w:beforeAutospacing="0" w:after="0" w:afterAutospacing="0" w:line="276" w:lineRule="auto"/>
        <w:ind w:firstLine="720"/>
        <w:jc w:val="both"/>
        <w:rPr>
          <w:rFonts w:ascii="Georgia" w:hAnsi="Georgia"/>
          <w:sz w:val="22"/>
          <w:szCs w:val="22"/>
        </w:rPr>
      </w:pPr>
      <w:r w:rsidRPr="0014144D">
        <w:rPr>
          <w:rFonts w:ascii="Georgia" w:hAnsi="Georgia"/>
          <w:sz w:val="22"/>
          <w:szCs w:val="22"/>
        </w:rPr>
        <w:t xml:space="preserve">A second wave of research in this area, led largely by Dan Kahan and his colleagues, has suggested that political ideology influences not only how we think about the persuasiveness of arguments for and against those ideologies themselves, but – even more – that our inclination to accept (or reject) scientific consensus across a range of areas is highly sensitive to what political ideology we already accept. For example, Kahan and his collaborators present studies aimed at demonstrating that background political ideology impacts whether we align with, or go against, expert consensus on topics ranging from global </w:t>
      </w:r>
      <w:r w:rsidRPr="0014144D">
        <w:rPr>
          <w:rFonts w:ascii="Georgia" w:hAnsi="Georgia"/>
          <w:sz w:val="22"/>
          <w:szCs w:val="22"/>
        </w:rPr>
        <w:t>warming to the safety of nuclear power (Kahan et al. 2011; Kahan 2016, 2014; cf., Carter and McKenna 2020).</w:t>
      </w:r>
    </w:p>
    <w:p w:rsidRPr="0014144D" w:rsidR="002158A2" w:rsidP="00353926" w:rsidRDefault="002158A2" w14:paraId="530D4FD0" w14:textId="28EB04D6">
      <w:pPr>
        <w:pStyle w:val="NormalWeb"/>
        <w:spacing w:before="0" w:beforeAutospacing="0" w:after="0" w:afterAutospacing="0" w:line="276" w:lineRule="auto"/>
        <w:ind w:firstLine="720"/>
        <w:jc w:val="both"/>
        <w:rPr>
          <w:rFonts w:ascii="Georgia" w:hAnsi="Georgia"/>
          <w:sz w:val="22"/>
          <w:szCs w:val="22"/>
        </w:rPr>
      </w:pPr>
      <w:proofErr w:type="gramStart"/>
      <w:r w:rsidRPr="0014144D">
        <w:rPr>
          <w:rFonts w:ascii="Georgia" w:hAnsi="Georgia"/>
          <w:sz w:val="22"/>
          <w:szCs w:val="22"/>
        </w:rPr>
        <w:t>In light of</w:t>
      </w:r>
      <w:proofErr w:type="gramEnd"/>
      <w:r w:rsidRPr="0014144D">
        <w:rPr>
          <w:rFonts w:ascii="Georgia" w:hAnsi="Georgia"/>
          <w:sz w:val="22"/>
          <w:szCs w:val="22"/>
        </w:rPr>
        <w:t xml:space="preserve"> this second wave of research, the received thinking takes the data underlying </w:t>
      </w:r>
      <w:r>
        <w:rPr>
          <w:rFonts w:ascii="Georgia" w:hAnsi="Georgia"/>
          <w:sz w:val="22"/>
          <w:szCs w:val="22"/>
        </w:rPr>
        <w:t>distrust in expertise</w:t>
      </w:r>
      <w:r w:rsidRPr="0014144D">
        <w:rPr>
          <w:rFonts w:ascii="Georgia" w:hAnsi="Georgia"/>
          <w:sz w:val="22"/>
          <w:szCs w:val="22"/>
        </w:rPr>
        <w:t xml:space="preserve"> to be principally a manifestation of irrational belief formation sourced in politically motivated reasoning (Kahan 2013).</w:t>
      </w:r>
    </w:p>
    <w:p w:rsidRPr="0014144D" w:rsidR="002158A2" w:rsidP="6993879A" w:rsidRDefault="002158A2" w14:paraId="7A4B8EED" w14:textId="78D02CEE">
      <w:pPr>
        <w:ind w:firstLine="720"/>
        <w:jc w:val="both"/>
        <w:rPr>
          <w:rFonts w:ascii="Georgia" w:hAnsi="Georgia" w:eastAsia="Times New Roman"/>
          <w:color w:val="000000" w:themeColor="text1"/>
          <w:lang w:val="en-US" w:eastAsia="en-GB"/>
        </w:rPr>
      </w:pPr>
      <w:r w:rsidRPr="6993879A">
        <w:rPr>
          <w:rFonts w:ascii="Georgia" w:hAnsi="Georgia"/>
          <w:lang w:val="en-US"/>
        </w:rPr>
        <w:t xml:space="preserve">This position, while challenged in social psychology, has been mostly taken as a datum in philosophy: for the most part, philosophers who have explored the </w:t>
      </w:r>
      <w:r w:rsidRPr="6993879A">
        <w:rPr>
          <w:rFonts w:ascii="Georgia" w:hAnsi="Georgia"/>
          <w:i w:val="1"/>
          <w:iCs w:val="1"/>
          <w:lang w:val="en-US"/>
        </w:rPr>
        <w:t xml:space="preserve">consequences </w:t>
      </w:r>
      <w:r w:rsidRPr="6993879A">
        <w:rPr>
          <w:rFonts w:ascii="Georgia" w:hAnsi="Georgia"/>
          <w:lang w:val="en-US"/>
        </w:rPr>
        <w:t>of this empirical hypothesis while taking its merits at face value (e.g., Carter and McKenna 2020; Ancell 2019, Talisse 2019). However, on closer and recent inspection, the hypothesis is both empirically and epistemically problematic</w:t>
      </w:r>
      <w:r w:rsidRPr="6993879A">
        <w:rPr>
          <w:rFonts w:ascii="Georgia" w:hAnsi="Georgia"/>
          <w:lang w:val="en-US"/>
        </w:rPr>
        <w:t xml:space="preserve"> (Simion 2024a, 2024b)</w:t>
      </w:r>
      <w:r w:rsidRPr="6993879A">
        <w:rPr>
          <w:rFonts w:ascii="Georgia" w:hAnsi="Georgia"/>
          <w:lang w:val="en-US"/>
        </w:rPr>
        <w:t xml:space="preserve">. Empirically, </w:t>
      </w:r>
      <w:r w:rsidRPr="6993879A">
        <w:rPr>
          <w:rFonts w:ascii="Georgia" w:hAnsi="Georgia"/>
          <w:shd w:val="clear" w:color="auto" w:fill="FFFFFF"/>
          <w:lang w:val="en-US"/>
        </w:rPr>
        <w:t xml:space="preserve">there are worries that in extant studies political group identity is often confounded with prior beliefs about the issue in question; and, crucially, reasoning can be affected by such beliefs in the absence of any political group motivation. This renders much existing evidence for the hypothesis ambiguous (Tappin et al. 2021). Epistemologically, the worry is (e.g. Simion 2024, Gluer-Pagin &amp; Wikforss 2024, Gluer-Pagin &amp; Spectre 2024)) that </w:t>
      </w:r>
      <w:r w:rsidRPr="6993879A">
        <w:rPr>
          <w:rFonts w:ascii="Georgia" w:hAnsi="Georgia"/>
          <w:lang w:val="en-US"/>
        </w:rPr>
        <w:t xml:space="preserve">the interpretation of the data is ineffective in making crucial distinctions among a number of phenomena, such as: (1) Concerning epistemic status: between epistemically impermissible resistance to evidence on one hand, and justified evidence rejection on the other; (2) Concerning triggers: between instances of motivated reasoning on one hand, and epistemically deficient reasoning featuring cognitive biases and unjustified premise beliefs on the other; (3) Concerning emotive status: between subjects engaging in politically motivated reasoning on one hand, and subjects being merely motivated to reason </w:t>
      </w:r>
      <w:r w:rsidRPr="6993879A">
        <w:rPr>
          <w:rFonts w:ascii="Georgia" w:hAnsi="Georgia"/>
          <w:lang w:val="en-US"/>
        </w:rPr>
        <w:t>(</w:t>
      </w:r>
      <w:r w:rsidRPr="6993879A">
        <w:rPr>
          <w:rFonts w:ascii="Georgia" w:hAnsi="Georgia"/>
          <w:lang w:val="en-US"/>
        </w:rPr>
        <w:t>to justified conclusions</w:t>
      </w:r>
      <w:r w:rsidRPr="6993879A">
        <w:rPr>
          <w:rFonts w:ascii="Georgia" w:hAnsi="Georgia"/>
          <w:lang w:val="en-US"/>
        </w:rPr>
        <w:t>)</w:t>
      </w:r>
      <w:r w:rsidRPr="6993879A">
        <w:rPr>
          <w:rFonts w:ascii="Georgia" w:hAnsi="Georgia"/>
          <w:lang w:val="en-US"/>
        </w:rPr>
        <w:t xml:space="preserve"> on the other hand</w:t>
      </w:r>
      <w:r w:rsidRPr="6993879A">
        <w:rPr>
          <w:rFonts w:ascii="Georgia" w:hAnsi="Georgia"/>
          <w:lang w:val="en-US"/>
        </w:rPr>
        <w:t>.</w:t>
      </w:r>
      <w:r w:rsidRPr="6993879A">
        <w:rPr>
          <w:rFonts w:ascii="Georgia" w:hAnsi="Georgia"/>
          <w:lang w:val="en-US"/>
        </w:rPr>
        <w:t xml:space="preserve"> </w:t>
      </w:r>
    </w:p>
    <w:p w:rsidR="002158A2" w:rsidP="6993879A" w:rsidRDefault="002158A2" w14:paraId="3BBAC42C" w14:textId="0A354E06">
      <w:pPr>
        <w:ind w:firstLine="720"/>
        <w:jc w:val="both"/>
        <w:rPr>
          <w:rFonts w:ascii="Georgia" w:hAnsi="Georgia" w:eastAsia="Times New Roman"/>
          <w:color w:val="000000" w:themeColor="text1"/>
          <w:lang w:val="en-US" w:eastAsia="en-GB"/>
        </w:rPr>
      </w:pPr>
      <w:r w:rsidRPr="6993879A" w:rsidR="6993879A">
        <w:rPr>
          <w:rFonts w:ascii="Georgia" w:hAnsi="Georgia" w:eastAsia="Times New Roman"/>
          <w:color w:val="000000" w:themeColor="text1" w:themeTint="FF" w:themeShade="FF"/>
          <w:lang w:val="en-US" w:eastAsia="en-GB"/>
        </w:rPr>
        <w:t>Furthermore, any explanation that posits widely spread irrationality in a highly cognitively successful species suffers from low prior plausibility. While our occasional apparent cognitive failure is very salient to us (both as theorists and as cognisers), it is important to remember that what underlies this presentation as salient is the exceptional status of these occasional failures, against our overwhelming general cognitive success.</w:t>
      </w:r>
    </w:p>
    <w:p w:rsidR="002158A2" w:rsidP="6993879A" w:rsidRDefault="002158A2" w14:paraId="65DD2ED5" w14:textId="05491BC5">
      <w:pPr>
        <w:ind w:firstLine="720"/>
        <w:jc w:val="both"/>
        <w:rPr>
          <w:rFonts w:ascii="Georgia" w:hAnsi="Georgia" w:eastAsia="Times New Roman"/>
          <w:color w:val="000000" w:themeColor="text1"/>
          <w:lang w:val="en-US" w:eastAsia="en-GB"/>
        </w:rPr>
      </w:pPr>
      <w:r w:rsidRPr="6993879A" w:rsidR="6993879A">
        <w:rPr>
          <w:rFonts w:ascii="Georgia" w:hAnsi="Georgia" w:eastAsia="Times New Roman"/>
          <w:color w:val="000000" w:themeColor="text1" w:themeTint="FF" w:themeShade="FF"/>
          <w:lang w:val="en-US" w:eastAsia="en-GB"/>
        </w:rPr>
        <w:t>The philosophy literature on the epistemic normativity of expert testimony and, in particular, on the evidential status of expert judgments for laypeople</w:t>
      </w:r>
      <w:r w:rsidRPr="6993879A" w:rsidR="6993879A">
        <w:rPr>
          <w:rFonts w:ascii="Georgia" w:hAnsi="Georgia" w:eastAsia="Times New Roman"/>
          <w:color w:val="000000" w:themeColor="text1" w:themeTint="FF" w:themeShade="FF"/>
          <w:lang w:val="en-US" w:eastAsia="en-GB"/>
        </w:rPr>
        <w:t xml:space="preserve">, </w:t>
      </w:r>
      <w:r w:rsidRPr="6993879A" w:rsidR="6993879A">
        <w:rPr>
          <w:rFonts w:ascii="Georgia" w:hAnsi="Georgia" w:eastAsia="Times New Roman"/>
          <w:color w:val="000000" w:themeColor="text1" w:themeTint="FF" w:themeShade="FF"/>
          <w:lang w:val="en-US" w:eastAsia="en-GB"/>
        </w:rPr>
        <w:t>features two main competing theories: the Total Evidence view (</w:t>
      </w:r>
      <w:r w:rsidRPr="6993879A" w:rsidR="6993879A">
        <w:rPr>
          <w:rFonts w:ascii="Georgia" w:hAnsi="Georgia" w:eastAsia="Times New Roman"/>
          <w:color w:val="000000" w:themeColor="text1" w:themeTint="FF" w:themeShade="FF"/>
          <w:lang w:val="en-US" w:eastAsia="en-GB"/>
        </w:rPr>
        <w:t xml:space="preserve">TEV, </w:t>
      </w:r>
      <w:r w:rsidRPr="6993879A" w:rsidR="6993879A">
        <w:rPr>
          <w:rFonts w:ascii="Georgia" w:hAnsi="Georgia" w:eastAsia="Times New Roman"/>
          <w:color w:val="000000" w:themeColor="text1" w:themeTint="FF" w:themeShade="FF"/>
          <w:lang w:val="en-US" w:eastAsia="en-GB"/>
        </w:rPr>
        <w:t xml:space="preserve">Fricker 2006; Lackey 2018), according to which experts are heavyweight epistemic sources  whose judgments have a high evidential weight relative to a layperson’s own reasons. On the alternative view, experts are (preemptive) authorities (the Preemption View, Zagzebski 2012; Constantin and Grundmann 2020). Their judgment does not only deliver a strong reason for the layperson to follow suit, it also normatively screens off all the other evidence which the layperson may possess with respect to the issue at stake.  While disagreeing substantively on what the epistemically permissible response to expert testimony may be, what these theories have in common is that they too threaten to predict widely spread irrationality in the target population as underlying </w:t>
      </w:r>
      <w:r w:rsidRPr="6993879A" w:rsidR="6993879A">
        <w:rPr>
          <w:rFonts w:ascii="Georgia" w:hAnsi="Georgia" w:eastAsia="Times New Roman"/>
          <w:color w:val="000000" w:themeColor="text1" w:themeTint="FF" w:themeShade="FF"/>
          <w:lang w:val="en-US" w:eastAsia="en-GB"/>
        </w:rPr>
        <w:t>distrust in expertise</w:t>
      </w:r>
      <w:r w:rsidRPr="6993879A" w:rsidR="6993879A">
        <w:rPr>
          <w:rFonts w:ascii="Georgia" w:hAnsi="Georgia" w:eastAsia="Times New Roman"/>
          <w:color w:val="000000" w:themeColor="text1" w:themeTint="FF" w:themeShade="FF"/>
          <w:lang w:val="en-US" w:eastAsia="en-GB"/>
        </w:rPr>
        <w:t xml:space="preserve">. </w:t>
      </w:r>
      <w:r w:rsidRPr="6993879A" w:rsidR="6993879A">
        <w:rPr>
          <w:rFonts w:ascii="Georgia" w:hAnsi="Georgia" w:eastAsia="Times New Roman"/>
          <w:color w:val="000000" w:themeColor="text1" w:themeTint="FF" w:themeShade="FF"/>
          <w:lang w:val="en-US" w:eastAsia="en-GB"/>
        </w:rPr>
        <w:t>For</w:t>
      </w:r>
      <w:r w:rsidRPr="6993879A" w:rsidR="6993879A">
        <w:rPr>
          <w:rFonts w:ascii="Georgia" w:hAnsi="Georgia" w:eastAsia="Times New Roman"/>
          <w:color w:val="000000" w:themeColor="text1" w:themeTint="FF" w:themeShade="FF"/>
          <w:lang w:val="en-US" w:eastAsia="en-GB"/>
        </w:rPr>
        <w:t xml:space="preserve"> </w:t>
      </w:r>
      <w:r w:rsidRPr="6993879A" w:rsidR="6993879A">
        <w:rPr>
          <w:rFonts w:ascii="Georgia" w:hAnsi="Georgia" w:eastAsia="Times New Roman"/>
          <w:color w:val="000000" w:themeColor="text1" w:themeTint="FF" w:themeShade="FF"/>
          <w:lang w:val="en-US" w:eastAsia="en-GB"/>
        </w:rPr>
        <w:t>paradigmatic</w:t>
      </w:r>
      <w:r w:rsidRPr="6993879A" w:rsidR="6993879A">
        <w:rPr>
          <w:rFonts w:ascii="Georgia" w:hAnsi="Georgia" w:eastAsia="Times New Roman"/>
          <w:color w:val="000000" w:themeColor="text1" w:themeTint="FF" w:themeShade="FF"/>
          <w:lang w:val="en-US" w:eastAsia="en-GB"/>
        </w:rPr>
        <w:t xml:space="preserve"> lay</w:t>
      </w:r>
      <w:r w:rsidRPr="6993879A" w:rsidR="6993879A">
        <w:rPr>
          <w:rFonts w:ascii="Georgia" w:hAnsi="Georgia" w:eastAsia="Times New Roman"/>
          <w:color w:val="000000" w:themeColor="text1" w:themeTint="FF" w:themeShade="FF"/>
          <w:lang w:val="en-US" w:eastAsia="en-GB"/>
        </w:rPr>
        <w:t>person</w:t>
      </w:r>
      <w:r w:rsidRPr="6993879A" w:rsidR="6993879A">
        <w:rPr>
          <w:rFonts w:ascii="Georgia" w:hAnsi="Georgia" w:eastAsia="Times New Roman"/>
          <w:color w:val="000000" w:themeColor="text1" w:themeTint="FF" w:themeShade="FF"/>
          <w:lang w:val="en-US" w:eastAsia="en-GB"/>
        </w:rPr>
        <w:t>-expert interractions, both these theories treaten to predict that distrusting expert testimony is irrational for lay</w:t>
      </w:r>
      <w:r w:rsidRPr="6993879A" w:rsidR="6993879A">
        <w:rPr>
          <w:rFonts w:ascii="Georgia" w:hAnsi="Georgia" w:eastAsia="Times New Roman"/>
          <w:color w:val="000000" w:themeColor="text1" w:themeTint="FF" w:themeShade="FF"/>
          <w:lang w:val="en-US" w:eastAsia="en-GB"/>
        </w:rPr>
        <w:t>people.</w:t>
      </w:r>
      <w:r w:rsidRPr="6993879A" w:rsidR="6993879A">
        <w:rPr>
          <w:rFonts w:ascii="Georgia" w:hAnsi="Georgia" w:eastAsia="Times New Roman"/>
          <w:color w:val="000000" w:themeColor="text1" w:themeTint="FF" w:themeShade="FF"/>
          <w:lang w:val="en-US" w:eastAsia="en-GB"/>
        </w:rPr>
        <w:t xml:space="preserve"> </w:t>
      </w:r>
      <w:r w:rsidRPr="6993879A" w:rsidR="6993879A">
        <w:rPr>
          <w:rFonts w:ascii="Georgia" w:hAnsi="Georgia" w:eastAsia="Times New Roman"/>
          <w:color w:val="000000" w:themeColor="text1" w:themeTint="FF" w:themeShade="FF"/>
          <w:lang w:val="en-US" w:eastAsia="en-GB"/>
        </w:rPr>
        <w:t>I</w:t>
      </w:r>
      <w:r w:rsidRPr="6993879A" w:rsidR="6993879A">
        <w:rPr>
          <w:rFonts w:ascii="Georgia" w:hAnsi="Georgia" w:eastAsia="Times New Roman"/>
          <w:color w:val="000000" w:themeColor="text1" w:themeTint="FF" w:themeShade="FF"/>
          <w:lang w:val="en-US" w:eastAsia="en-GB"/>
        </w:rPr>
        <w:t>t should be easy enough to see why this may be so on the Preemption View</w:t>
      </w:r>
      <w:r w:rsidRPr="6993879A" w:rsidR="6993879A">
        <w:rPr>
          <w:rFonts w:ascii="Georgia" w:hAnsi="Georgia" w:eastAsia="Times New Roman"/>
          <w:color w:val="000000" w:themeColor="text1" w:themeTint="FF" w:themeShade="FF"/>
          <w:lang w:val="en-US" w:eastAsia="en-GB"/>
        </w:rPr>
        <w:t>: after all, there is no evidence that laypeople could have that does not get screened off. T</w:t>
      </w:r>
      <w:r w:rsidRPr="6993879A" w:rsidR="6993879A">
        <w:rPr>
          <w:rFonts w:ascii="Georgia" w:hAnsi="Georgia" w:eastAsia="Times New Roman"/>
          <w:color w:val="000000" w:themeColor="text1" w:themeTint="FF" w:themeShade="FF"/>
          <w:lang w:val="en-US" w:eastAsia="en-GB"/>
        </w:rPr>
        <w:t>he Total Evidence view also  risks making this prediction because, on this account expert testimony carries very high evidential weight, non-trivially outweighed by other evidence possesed by the audience. If so, given wide</w:t>
      </w:r>
      <w:r w:rsidRPr="6993879A" w:rsidR="6993879A">
        <w:rPr>
          <w:rFonts w:ascii="Georgia" w:hAnsi="Georgia" w:eastAsia="Times New Roman"/>
          <w:color w:val="000000" w:themeColor="text1" w:themeTint="FF" w:themeShade="FF"/>
          <w:lang w:val="en-US" w:eastAsia="en-GB"/>
        </w:rPr>
        <w:t>ly</w:t>
      </w:r>
      <w:r w:rsidRPr="6993879A" w:rsidR="6993879A">
        <w:rPr>
          <w:rFonts w:ascii="Georgia" w:hAnsi="Georgia" w:eastAsia="Times New Roman"/>
          <w:color w:val="000000" w:themeColor="text1" w:themeTint="FF" w:themeShade="FF"/>
          <w:lang w:val="en-US" w:eastAsia="en-GB"/>
        </w:rPr>
        <w:t xml:space="preserve">-spread expert consensus on the toipcs at hand – e.g. vaccine safety, climate change – TEV may predict that responding with less than belief to expert testimony on this topic is irrational. </w:t>
      </w:r>
    </w:p>
    <w:p w:rsidRPr="0014144D" w:rsidR="002158A2" w:rsidP="6993879A" w:rsidRDefault="002158A2" w14:paraId="3D868DB8" w14:textId="40827490">
      <w:pPr>
        <w:ind w:firstLine="720"/>
        <w:jc w:val="both"/>
        <w:rPr>
          <w:rFonts w:ascii="Georgia" w:hAnsi="Georgia" w:eastAsia="Times New Roman"/>
          <w:color w:val="000000" w:themeColor="text1"/>
          <w:lang w:val="en-US" w:eastAsia="en-GB"/>
        </w:rPr>
      </w:pPr>
      <w:r w:rsidRPr="6993879A" w:rsidR="6993879A">
        <w:rPr>
          <w:rFonts w:ascii="Georgia" w:hAnsi="Georgia"/>
          <w:lang w:val="en-US"/>
        </w:rPr>
        <w:t xml:space="preserve">Figuring out the correct explanation for increasing distrust in experts and institutions is a very high-stakes affair, affecting the choice of </w:t>
      </w:r>
      <w:r w:rsidRPr="6993879A" w:rsidR="6993879A">
        <w:rPr>
          <w:rFonts w:ascii="Georgia" w:hAnsi="Georgia"/>
          <w:lang w:val="en-US"/>
        </w:rPr>
        <w:t xml:space="preserve">strategies for addressing </w:t>
      </w:r>
      <w:r w:rsidRPr="6993879A" w:rsidR="6993879A">
        <w:rPr>
          <w:rFonts w:ascii="Georgia" w:hAnsi="Georgia"/>
          <w:lang w:val="en-US"/>
        </w:rPr>
        <w:t>this problem</w:t>
      </w:r>
      <w:r w:rsidRPr="6993879A" w:rsidR="6993879A">
        <w:rPr>
          <w:rFonts w:ascii="Georgia" w:hAnsi="Georgia"/>
          <w:lang w:val="en-US"/>
        </w:rPr>
        <w:t xml:space="preserve">: </w:t>
      </w:r>
      <w:r w:rsidRPr="6993879A" w:rsidR="6993879A">
        <w:rPr>
          <w:rFonts w:ascii="Georgia" w:hAnsi="Georgia"/>
          <w:lang w:val="en-US"/>
        </w:rPr>
        <w:t xml:space="preserve">i.e., </w:t>
      </w:r>
      <w:r w:rsidRPr="6993879A" w:rsidR="6993879A">
        <w:rPr>
          <w:rFonts w:ascii="Georgia" w:hAnsi="Georgia"/>
          <w:lang w:val="en-US"/>
        </w:rPr>
        <w:t xml:space="preserve">the choice </w:t>
      </w:r>
      <w:r w:rsidRPr="6993879A" w:rsidR="6993879A">
        <w:rPr>
          <w:rFonts w:ascii="Georgia" w:hAnsi="Georgia"/>
          <w:lang w:val="en-US"/>
        </w:rPr>
        <w:t xml:space="preserve">between </w:t>
      </w:r>
      <w:r w:rsidRPr="6993879A" w:rsidR="6993879A">
        <w:rPr>
          <w:rFonts w:ascii="Georgia" w:hAnsi="Georgia"/>
          <w:lang w:val="en-US"/>
        </w:rPr>
        <w:t xml:space="preserve">strategies </w:t>
      </w:r>
      <w:r w:rsidRPr="6993879A" w:rsidR="6993879A">
        <w:rPr>
          <w:rFonts w:ascii="Georgia" w:hAnsi="Georgia"/>
          <w:lang w:val="en-US"/>
        </w:rPr>
        <w:t xml:space="preserve">targeting individual irrationality on one hand,  and </w:t>
      </w:r>
      <w:r w:rsidRPr="6993879A" w:rsidR="6993879A">
        <w:rPr>
          <w:rFonts w:ascii="Georgia" w:hAnsi="Georgia"/>
          <w:lang w:val="en-US"/>
        </w:rPr>
        <w:t xml:space="preserve">strategies </w:t>
      </w:r>
      <w:r w:rsidRPr="6993879A" w:rsidR="6993879A">
        <w:rPr>
          <w:rFonts w:ascii="Georgia" w:hAnsi="Georgia"/>
          <w:lang w:val="en-US"/>
        </w:rPr>
        <w:t>targeting an unhealthy epistemic environment on the other.  If disinformation uptake and distrust in expertise have one main source - for instance, a particular type of mistake in reasoning - the strategy to address this problem will be unidirectional and targeted mostly at the individual-level. In contrast, should we discover that a pluralistic picture is more plausible, whereby this phenomenon is, e.g., the result of a complex interaction of social, emotive, and cognitive phenomena -  we would have to develop much more complex interventions, at both individual and societal levels.</w:t>
      </w:r>
    </w:p>
    <w:p w:rsidR="002158A2" w:rsidP="00353926" w:rsidRDefault="002158A2" w14:paraId="14A29DA5" w14:textId="77777777">
      <w:pPr>
        <w:ind w:firstLine="720"/>
        <w:jc w:val="both"/>
        <w:rPr>
          <w:rFonts w:ascii="Georgia" w:hAnsi="Georgia" w:eastAsia="Times New Roman"/>
          <w:color w:val="000000" w:themeColor="text1"/>
          <w:lang w:eastAsia="en-GB"/>
        </w:rPr>
      </w:pPr>
    </w:p>
    <w:p w:rsidRPr="0014144D" w:rsidR="002158A2" w:rsidP="1B324241" w:rsidRDefault="002158A2" w14:paraId="19BCBC9A" w14:textId="5E041E7F">
      <w:pPr>
        <w:ind w:firstLine="720"/>
        <w:jc w:val="both"/>
        <w:rPr>
          <w:rFonts w:ascii="Georgia" w:hAnsi="Georgia" w:eastAsia="Times New Roman"/>
          <w:color w:val="000000" w:themeColor="text1"/>
          <w:lang w:val="en-US" w:eastAsia="en-GB"/>
        </w:rPr>
      </w:pPr>
      <w:r w:rsidRPr="1B324241" w:rsidR="1B324241">
        <w:rPr>
          <w:rFonts w:ascii="Georgia" w:hAnsi="Georgia" w:eastAsia="Times New Roman"/>
          <w:color w:val="000000" w:themeColor="text1" w:themeTint="FF" w:themeShade="FF"/>
          <w:lang w:val="en-US" w:eastAsia="en-GB"/>
        </w:rPr>
        <w:t>In what follows, we offer an alternative diagnosis of the phenomena underlying distrust in expertise, one that does not predict widely spread irrationality: on our view, often (albeit, of course, not always), distrust can be a rational  response in the face of undercutting and rebutting defeat, further amplified by epistemic exclusion in science communication.</w:t>
      </w:r>
    </w:p>
    <w:p w:rsidRPr="0014144D" w:rsidR="002158A2" w:rsidP="00353926" w:rsidRDefault="002158A2" w14:paraId="58679B46" w14:textId="77777777">
      <w:pPr>
        <w:ind w:firstLine="720"/>
        <w:jc w:val="both"/>
        <w:rPr>
          <w:rFonts w:ascii="Georgia" w:hAnsi="Georgia" w:eastAsia="Times New Roman"/>
          <w:color w:val="000000" w:themeColor="text1"/>
          <w:lang w:eastAsia="en-GB"/>
        </w:rPr>
      </w:pPr>
    </w:p>
    <w:p w:rsidRPr="0014144D" w:rsidR="002158A2" w:rsidP="00353926" w:rsidRDefault="002158A2" w14:paraId="3929200E" w14:textId="77777777">
      <w:pPr>
        <w:jc w:val="both"/>
        <w:rPr>
          <w:rFonts w:ascii="Georgia" w:hAnsi="Georgia" w:eastAsia="Times New Roman"/>
          <w:color w:val="000000" w:themeColor="text1"/>
          <w:lang w:eastAsia="en-GB"/>
        </w:rPr>
      </w:pPr>
    </w:p>
    <w:p w:rsidRPr="0014144D" w:rsidR="002158A2" w:rsidP="00353926" w:rsidRDefault="002158A2" w14:paraId="5100DAC3" w14:textId="77777777">
      <w:pPr>
        <w:pStyle w:val="Normal1"/>
        <w:jc w:val="both"/>
        <w:rPr>
          <w:rFonts w:ascii="Georgia" w:hAnsi="Georgia" w:eastAsia="Garamond" w:cs="Garamond"/>
          <w:b/>
        </w:rPr>
      </w:pPr>
      <w:r w:rsidRPr="0014144D">
        <w:rPr>
          <w:rFonts w:ascii="Georgia" w:hAnsi="Georgia" w:eastAsia="Garamond" w:cs="Garamond"/>
          <w:b/>
        </w:rPr>
        <w:t>3. Case Study: Vaccine Uptake in African, Caribbean, and Black (ACB) Communities in Scotland</w:t>
      </w:r>
    </w:p>
    <w:p w:rsidRPr="0014144D" w:rsidR="002158A2" w:rsidP="00353926" w:rsidRDefault="002158A2" w14:paraId="589115DE" w14:textId="77777777">
      <w:pPr>
        <w:jc w:val="both"/>
        <w:rPr>
          <w:rFonts w:ascii="Georgia" w:hAnsi="Georgia" w:eastAsia="Times New Roman"/>
          <w:color w:val="000000" w:themeColor="text1"/>
          <w:lang w:eastAsia="en-GB"/>
        </w:rPr>
      </w:pPr>
    </w:p>
    <w:p w:rsidRPr="0014144D" w:rsidR="002158A2" w:rsidP="00353926" w:rsidRDefault="002158A2" w14:paraId="4E22E4F7" w14:textId="4C6D0B1F">
      <w:pPr>
        <w:jc w:val="both"/>
        <w:rPr>
          <w:rFonts w:ascii="Georgia" w:hAnsi="Georgia" w:eastAsia="Times New Roman"/>
          <w:color w:val="000000" w:themeColor="text1"/>
          <w:lang w:eastAsia="en-GB"/>
        </w:rPr>
      </w:pPr>
      <w:r w:rsidRPr="0014144D">
        <w:rPr>
          <w:rFonts w:ascii="Georgia" w:hAnsi="Georgia" w:eastAsia="Times New Roman"/>
          <w:color w:val="000000" w:themeColor="text1"/>
          <w:lang w:eastAsia="en-GB"/>
        </w:rPr>
        <w:t xml:space="preserve">The unified, widespread irrationality prediction is called into doubt by our recent interdisciplinary, qualitative social scientific - epistemological studies investigating the rationales for rejecting expert testimony in vaccine hesitant communities. </w:t>
      </w:r>
    </w:p>
    <w:p w:rsidRPr="0014144D" w:rsidR="002158A2" w:rsidP="6993879A" w:rsidRDefault="002158A2" w14:paraId="15F00A58" w14:textId="4CD26D35">
      <w:pPr>
        <w:pStyle w:val="Normal1"/>
        <w:ind w:firstLine="720"/>
        <w:jc w:val="both"/>
        <w:rPr>
          <w:rFonts w:ascii="Georgia" w:hAnsi="Georgia" w:eastAsia="Garamond" w:cs="Garamond"/>
          <w:lang w:val="en-US"/>
        </w:rPr>
      </w:pPr>
      <w:r w:rsidRPr="6993879A" w:rsidR="6993879A">
        <w:rPr>
          <w:rFonts w:ascii="Georgia" w:hAnsi="Georgia" w:eastAsia="Garamond" w:cs="Garamond"/>
          <w:lang w:val="en-US"/>
        </w:rPr>
        <w:t>Research conducted across two years (2021 and 2022) by Public Health Scotland (PHS) on the Equality of COVID-19 vaccination uptake has considered the difference in vaccine uptake among five different ethnic groups: White, Asian, Caribbean or Black, African and Mixed or Multiple Ethnic groups. The main upshot of this research is that COVID-19 vaccine uptake in African, Caribbean, or Black ethnic groups in Scotland is the lowest on all counts across the years of study —</w:t>
      </w:r>
      <w:r w:rsidRPr="6993879A" w:rsidR="6993879A">
        <w:rPr>
          <w:rFonts w:ascii="Georgia" w:hAnsi="Georgia" w:eastAsia="Garamond" w:cs="Garamond"/>
          <w:lang w:val="en-US"/>
        </w:rPr>
        <w:t xml:space="preserve"> </w:t>
      </w:r>
      <w:r w:rsidRPr="6993879A" w:rsidR="6993879A">
        <w:rPr>
          <w:rFonts w:ascii="Georgia" w:hAnsi="Georgia" w:eastAsia="Garamond" w:cs="Garamond"/>
          <w:lang w:val="en-US"/>
        </w:rPr>
        <w:t>lowest uptake of 1st dose and 2nd dose, lower continuity rate between 1st and 2nd dose, and lowest consistency of uptake across age groups— and, conversely, that White ethnic groups have scored the highest. PHS research has found that Scottish adults' uptake of the first dose of the vaccine is highest in White ethnic groups (89%) and lowest in Caribbean or Black ethnic groups (68%). This is 84% and 60% for the second dose, respectively, and the lowest uptake (59%) is found among African ethnic groups. In 2021, the difference between White and African ethnic groups is most stark in the 75-79 age group, reaching 21.5% (97.7% of White ethnic groups and 76.2% of African ethnic groups). Within ethnic groups, White groups tend to have the most stable uptake range across all ages, with a variation of 20.2% between the age range with highest uptake (75-79 yo) and lowest (18-29). This contrasts sharply with Caribbean or Black groups, where the range is almost twice as wide as in White groups (from 93% in the over 80s to 56.6% among those aged 18-29). Another essential figure brought to light by the 2021 study is that not only vaccine uptake among African ethnic groups is consistently lower compared to other ethnic groups, but that so is also the proportion of those who drop off —i.e., those who do not continue after the first dose. 9.7% of people of African ethnic background who received their first dose didn't get the second, compared to 4.8% of the Scottish White population.</w:t>
      </w:r>
    </w:p>
    <w:p w:rsidRPr="0014144D" w:rsidR="002158A2" w:rsidP="6993879A" w:rsidRDefault="002158A2" w14:paraId="3533FA97" w14:textId="6D842EB2">
      <w:pPr>
        <w:pStyle w:val="Normal1"/>
        <w:ind w:firstLine="720"/>
        <w:jc w:val="both"/>
        <w:rPr>
          <w:rFonts w:ascii="Georgia" w:hAnsi="Georgia" w:eastAsia="Garamond" w:cs="Garamond"/>
          <w:lang w:val="en-US"/>
        </w:rPr>
      </w:pPr>
      <w:r w:rsidRPr="6993879A" w:rsidR="6993879A">
        <w:rPr>
          <w:rFonts w:ascii="Georgia" w:hAnsi="Georgia" w:eastAsia="Garamond" w:cs="Garamond"/>
          <w:lang w:val="en-US"/>
        </w:rPr>
        <w:t xml:space="preserve">The latest report submitted by PHS (15 November 2022) shows that the gap between White and African ethnic groups in the following year has worsened. Throughout 2022, the average difference in vaccine uptake between White and African ethnic groups has more than doubled —from an average of 17% between the uptake of the two doses in the two communities in 2021 to 35.1% in 2022. In other words, this means that for every three people from a White </w:t>
      </w:r>
      <w:r w:rsidRPr="6993879A" w:rsidR="6993879A">
        <w:rPr>
          <w:rFonts w:ascii="Georgia" w:hAnsi="Georgia" w:eastAsia="Garamond" w:cs="Garamond"/>
          <w:lang w:val="en-US"/>
        </w:rPr>
        <w:t xml:space="preserve">ethnic background who have received two doses by the end of 2022, there is one person of African ethnic background who is not vaccinated. Despite consistently being lower across all ethnic groups in Scotland, COVID-19 vaccine uptake in 2022 remains highest among Whites (57.9%) and lowest in African ethnic groups (22.8%). </w:t>
      </w:r>
    </w:p>
    <w:p w:rsidRPr="0014144D" w:rsidR="002158A2" w:rsidP="6993879A" w:rsidRDefault="002158A2" w14:paraId="31173662" w14:textId="09195539">
      <w:pPr>
        <w:ind w:firstLine="720"/>
        <w:jc w:val="both"/>
        <w:rPr>
          <w:rFonts w:ascii="Georgia" w:hAnsi="Georgia" w:eastAsia="Garamond" w:cs="Garamond"/>
          <w:lang w:val="en-US"/>
        </w:rPr>
      </w:pPr>
      <w:r w:rsidRPr="6993879A">
        <w:rPr>
          <w:rFonts w:ascii="Georgia" w:hAnsi="Georgia" w:eastAsia="Garamond" w:cs="Garamond"/>
          <w:lang w:val="en-US"/>
        </w:rPr>
        <w:t xml:space="preserve">We </w:t>
      </w:r>
      <w:r w:rsidRPr="6993879A">
        <w:rPr>
          <w:rFonts w:ascii="Georgia" w:hAnsi="Georgia" w:eastAsia="Garamond" w:cs="Garamond"/>
          <w:lang w:val="en-US"/>
        </w:rPr>
        <w:t>(</w:t>
      </w:r>
      <w:r w:rsidRPr="6993879A">
        <w:rPr>
          <w:rFonts w:ascii="Georgia" w:hAnsi="Georgia" w:eastAsia="Garamond" w:cs="Garamond"/>
          <w:lang w:val="en-US"/>
        </w:rPr>
        <w:t xml:space="preserve">Adekola 2022, </w:t>
      </w:r>
      <w:r w:rsidRPr="6993879A">
        <w:rPr>
          <w:rFonts w:ascii="Georgia" w:hAnsi="Georgia" w:eastAsia="Garamond" w:cs="Garamond"/>
          <w:lang w:val="en-US"/>
        </w:rPr>
        <w:t>Adekola et al. 2022)</w:t>
      </w:r>
      <w:r w:rsidRPr="6993879A">
        <w:rPr>
          <w:rFonts w:ascii="Georgia" w:hAnsi="Georgia" w:eastAsia="Garamond" w:cs="Garamond"/>
          <w:lang w:val="en-US"/>
        </w:rPr>
        <w:t xml:space="preserve"> </w:t>
      </w:r>
      <w:r w:rsidRPr="6993879A">
        <w:rPr>
          <w:rFonts w:ascii="Georgia" w:hAnsi="Georgia" w:eastAsia="Garamond" w:cs="Garamond"/>
          <w:lang w:val="en-US"/>
        </w:rPr>
        <w:t>have</w:t>
      </w:r>
      <w:r w:rsidRPr="6993879A">
        <w:rPr>
          <w:rFonts w:ascii="Georgia" w:hAnsi="Georgia" w:eastAsia="Garamond" w:cs="Garamond"/>
          <w:i w:val="1"/>
          <w:iCs w:val="1"/>
          <w:lang w:val="en-US"/>
        </w:rPr>
        <w:t xml:space="preserve"> </w:t>
      </w:r>
      <w:r w:rsidRPr="6993879A">
        <w:rPr>
          <w:rFonts w:ascii="Georgia" w:hAnsi="Georgia" w:eastAsia="Garamond" w:cs="Garamond"/>
          <w:lang w:val="en-US"/>
        </w:rPr>
        <w:t xml:space="preserve">investigated African, Caribbean, or Black </w:t>
      </w:r>
      <w:r w:rsidRPr="6993879A">
        <w:rPr>
          <w:rFonts w:ascii="Georgia" w:hAnsi="Georgia" w:eastAsia="Garamond" w:cs="Garamond"/>
          <w:lang w:val="en-US"/>
        </w:rPr>
        <w:t xml:space="preserve">(ACB) </w:t>
      </w:r>
      <w:r w:rsidRPr="6993879A">
        <w:rPr>
          <w:rFonts w:ascii="Georgia" w:hAnsi="Georgia" w:eastAsia="Garamond" w:cs="Garamond"/>
          <w:lang w:val="en-US"/>
        </w:rPr>
        <w:t>communities' perception of COVID-19 risks and their attitudes towards the health and safety, as well as towards the necessity of COVID-19 vaccinations.</w:t>
      </w:r>
      <w:r w:rsidRPr="6993879A">
        <w:rPr>
          <w:rStyle w:val="EndnoteReference"/>
          <w:rFonts w:ascii="Georgia" w:hAnsi="Georgia" w:eastAsia="Garamond" w:cs="Garamond"/>
          <w:lang w:val="en-US"/>
        </w:rPr>
        <w:endnoteReference w:id="5"/>
      </w:r>
      <w:r w:rsidRPr="6993879A">
        <w:rPr>
          <w:rFonts w:ascii="Georgia" w:hAnsi="Georgia" w:eastAsia="Garamond" w:cs="Garamond"/>
          <w:lang w:val="en-US"/>
        </w:rPr>
        <w:t xml:space="preserve"> Data was collected from February to April 2022, has been obtained with a method of triangulated research including: a survey (408 participants), one-to-one interviews (25 participants), and tfive focus groups (involving 30 people) to ensure traingulation and minimise bias. The survey participants in this study, were from four main Scottish centers (77% from Glasgow, 10% from Edinburgh, and 13% from Dundee, Aberdeenshire, and other Scottish towns) identify as either African ethnic background and Caribbean or Black (89%). Only a minority was from mixed or multiple ethnic backgrounds (11%). Nearly half identify as female (45%), and the rest (55%) as male. The most common faiths among our participants were Islam (51%) and Christianity (44%), with only 5% shared between Hinduism (2%), Buddhism (1%), and other faiths.</w:t>
      </w:r>
      <w:r w:rsidRPr="6993879A">
        <w:rPr>
          <w:rFonts w:ascii="Georgia" w:hAnsi="Georgia"/>
          <w:lang w:val="en-US"/>
        </w:rPr>
        <w:t xml:space="preserve"> </w:t>
      </w:r>
      <w:r w:rsidRPr="6993879A">
        <w:rPr>
          <w:rFonts w:ascii="Georgia" w:hAnsi="Georgia" w:eastAsia="Garamond" w:cs="Garamond"/>
          <w:lang w:val="en-US"/>
        </w:rPr>
        <w:t xml:space="preserve">Participation was completely voluntary, and all participants gave consent to participate in the study by completing the approved consent forms or the survey. </w:t>
      </w:r>
    </w:p>
    <w:p w:rsidR="002158A2" w:rsidP="6993879A" w:rsidRDefault="002158A2" w14:paraId="4F07D467" w14:textId="7F2AA412">
      <w:pPr>
        <w:pStyle w:val="Normal1"/>
        <w:ind w:firstLine="720"/>
        <w:jc w:val="both"/>
        <w:rPr>
          <w:rFonts w:ascii="Georgia" w:hAnsi="Georgia" w:eastAsia="Garamond" w:cs="Garamond"/>
          <w:lang w:val="en-US"/>
        </w:rPr>
      </w:pPr>
      <w:r w:rsidRPr="6993879A" w:rsidR="6993879A">
        <w:rPr>
          <w:rFonts w:ascii="Georgia" w:hAnsi="Georgia" w:eastAsia="Times New Roman"/>
          <w:color w:val="000000" w:themeColor="text1" w:themeTint="FF" w:themeShade="FF"/>
          <w:lang w:val="en-US" w:eastAsia="en-GB"/>
        </w:rPr>
        <w:t xml:space="preserve">Our results show that vaccine </w:t>
      </w:r>
      <w:r w:rsidRPr="6993879A" w:rsidR="6993879A">
        <w:rPr>
          <w:rFonts w:ascii="Georgia" w:hAnsi="Georgia" w:eastAsia="Times New Roman"/>
          <w:color w:val="000000" w:themeColor="text1" w:themeTint="FF" w:themeShade="FF"/>
          <w:lang w:val="en-US" w:eastAsia="en-GB"/>
        </w:rPr>
        <w:t>hesitancy</w:t>
      </w:r>
      <w:r w:rsidRPr="6993879A" w:rsidR="6993879A">
        <w:rPr>
          <w:rFonts w:ascii="Georgia" w:hAnsi="Georgia" w:eastAsia="Times New Roman"/>
          <w:color w:val="000000" w:themeColor="text1" w:themeTint="FF" w:themeShade="FF"/>
          <w:lang w:val="en-US" w:eastAsia="en-GB"/>
        </w:rPr>
        <w:t xml:space="preserve"> persists within Black and Caribbean communities in Scotland despite the vaccination programme being viewed positively regarding access and use (Adekola 2022</w:t>
      </w:r>
      <w:r w:rsidRPr="6993879A" w:rsidR="6993879A">
        <w:rPr>
          <w:rFonts w:ascii="Georgia" w:hAnsi="Georgia" w:eastAsia="Times New Roman"/>
          <w:color w:val="000000" w:themeColor="text1" w:themeTint="FF" w:themeShade="FF"/>
          <w:lang w:val="en-US" w:eastAsia="en-GB"/>
        </w:rPr>
        <w:t>, Adekola et al. 2022</w:t>
      </w:r>
      <w:r w:rsidRPr="6993879A" w:rsidR="6993879A">
        <w:rPr>
          <w:rFonts w:ascii="Georgia" w:hAnsi="Georgia" w:eastAsia="Times New Roman"/>
          <w:color w:val="000000" w:themeColor="text1" w:themeTint="FF" w:themeShade="FF"/>
          <w:lang w:val="en-US" w:eastAsia="en-GB"/>
        </w:rPr>
        <w:t xml:space="preserve">). </w:t>
      </w:r>
      <w:r w:rsidRPr="6993879A" w:rsidR="6993879A">
        <w:rPr>
          <w:rFonts w:ascii="Georgia" w:hAnsi="Georgia" w:eastAsia="Garamond" w:cs="Garamond"/>
          <w:lang w:val="en-US"/>
        </w:rPr>
        <w:t xml:space="preserve">Our study has taken into account several influential factors on vaccine decisions, from ACB communities' vaccine user journey to the ease of access to information regarding COVID-19 and their experiences with the COVID-19 vaccine. </w:t>
      </w:r>
    </w:p>
    <w:p w:rsidRPr="00334E91" w:rsidR="002158A2" w:rsidP="00353926" w:rsidRDefault="002158A2" w14:paraId="34F795C3" w14:textId="26390188">
      <w:pPr>
        <w:pStyle w:val="Normal1"/>
        <w:ind w:firstLine="720"/>
        <w:jc w:val="both"/>
        <w:rPr>
          <w:rFonts w:ascii="Georgia" w:hAnsi="Georgia" w:eastAsia="Garamond" w:cs="Garamond"/>
        </w:rPr>
      </w:pPr>
      <w:r w:rsidRPr="0014144D">
        <w:rPr>
          <w:rFonts w:ascii="Georgia" w:hAnsi="Georgia" w:eastAsia="Garamond" w:cs="Garamond"/>
        </w:rPr>
        <w:t xml:space="preserve">The first striking result regards the relationship between participants' access to and the status of their vaccination. According to the study, a substantial majority of participants in the survey (86%) have reported being willing to support the fight against COVID-19. Despite this, only 47.6% of them are fully vaccinated. </w:t>
      </w:r>
      <w:r>
        <w:rPr>
          <w:rFonts w:ascii="Georgia" w:hAnsi="Georgia" w:eastAsia="Garamond" w:cs="Garamond"/>
        </w:rPr>
        <w:t>One may suspect that a</w:t>
      </w:r>
      <w:r w:rsidRPr="0014144D">
        <w:rPr>
          <w:rFonts w:ascii="Georgia" w:hAnsi="Georgia" w:eastAsia="Garamond" w:cs="Garamond"/>
        </w:rPr>
        <w:t xml:space="preserve"> natural explanation for this result would be that participants' failure to get fully vaccinated is due to administrative or organizational obstacles independent of their desire. However, the study offers good evidence against this hypothesis. The majority of the participants have reported that getting vaccination appointments has been easy (only 1% has found it difficult) and that their vaccine user experience has been smooth and unproblematic (only 9% have reported a delay in taking up either the first, second or third dose of their vaccines). Overall, less than a sixth (15%) of all participants found the method of COVID-19 booking appointments influential for their vaccine uptake. Crucially, then, the data excludes that there is a connection between low vaccine uptake in ACB communities and administrative or organizational barriers to their vaccine access. </w:t>
      </w:r>
    </w:p>
    <w:p w:rsidRPr="0014144D" w:rsidR="002158A2" w:rsidP="00353926" w:rsidRDefault="002158A2" w14:paraId="0BD6D61F" w14:textId="65D9856D">
      <w:pPr>
        <w:pStyle w:val="Normal1"/>
        <w:ind w:firstLine="720"/>
        <w:jc w:val="both"/>
        <w:rPr>
          <w:rFonts w:ascii="Georgia" w:hAnsi="Georgia" w:eastAsia="Garamond" w:cs="Garamond"/>
        </w:rPr>
      </w:pPr>
      <w:r w:rsidRPr="0014144D">
        <w:rPr>
          <w:rFonts w:ascii="Georgia" w:hAnsi="Georgia" w:eastAsia="Times New Roman"/>
          <w:color w:val="000000" w:themeColor="text1"/>
          <w:lang w:eastAsia="en-GB"/>
        </w:rPr>
        <w:t xml:space="preserve">In the quantitative research, vaccine hesitancy was evidenced to be linked to factors </w:t>
      </w:r>
      <w:r>
        <w:rPr>
          <w:rFonts w:ascii="Georgia" w:hAnsi="Georgia" w:eastAsia="Times New Roman"/>
          <w:color w:val="000000" w:themeColor="text1"/>
          <w:lang w:eastAsia="en-GB"/>
        </w:rPr>
        <w:t>such as</w:t>
      </w:r>
      <w:r w:rsidRPr="0014144D">
        <w:rPr>
          <w:rFonts w:ascii="Georgia" w:hAnsi="Georgia" w:eastAsia="Times New Roman"/>
          <w:color w:val="000000" w:themeColor="text1"/>
          <w:lang w:eastAsia="en-GB"/>
        </w:rPr>
        <w:t xml:space="preserve"> scepticism regarding the speed of vaccine development, its safety and efficacy, and distrust in testimony by health authorities. </w:t>
      </w:r>
      <w:r w:rsidRPr="0014144D">
        <w:rPr>
          <w:rFonts w:ascii="Georgia" w:hAnsi="Georgia" w:eastAsia="Garamond" w:cs="Garamond"/>
        </w:rPr>
        <w:t>The study highlights the importance of two factors for explaining vaccine hesitancy among ACB communities: (1) Lack of trust in scientific research, government regulations, and the assertions of health officials. (2) The channels that are used to get information regarding COVID-19 and the means used to understand it.</w:t>
      </w:r>
      <w:r>
        <w:rPr>
          <w:rFonts w:ascii="Georgia" w:hAnsi="Georgia" w:eastAsia="Garamond" w:cs="Garamond"/>
        </w:rPr>
        <w:t xml:space="preserve"> </w:t>
      </w:r>
      <w:r>
        <w:rPr>
          <w:rFonts w:ascii="Georgia" w:hAnsi="Georgia" w:eastAsia="Times New Roman"/>
          <w:color w:val="000000" w:themeColor="text1"/>
          <w:lang w:eastAsia="en-GB"/>
        </w:rPr>
        <w:t>In turn, d</w:t>
      </w:r>
      <w:r w:rsidRPr="0014144D">
        <w:rPr>
          <w:rFonts w:ascii="Georgia" w:hAnsi="Georgia" w:eastAsia="Times New Roman"/>
          <w:color w:val="000000" w:themeColor="text1"/>
          <w:lang w:eastAsia="en-GB"/>
        </w:rPr>
        <w:t>istrust in health authorities within the</w:t>
      </w:r>
      <w:r>
        <w:rPr>
          <w:rFonts w:ascii="Georgia" w:hAnsi="Georgia" w:eastAsia="Times New Roman"/>
          <w:color w:val="000000" w:themeColor="text1"/>
          <w:lang w:eastAsia="en-GB"/>
        </w:rPr>
        <w:t>se communities</w:t>
      </w:r>
      <w:r w:rsidRPr="0014144D">
        <w:rPr>
          <w:rFonts w:ascii="Georgia" w:hAnsi="Georgia" w:eastAsia="Times New Roman"/>
          <w:color w:val="000000" w:themeColor="text1"/>
          <w:lang w:eastAsia="en-GB"/>
        </w:rPr>
        <w:t xml:space="preserve"> </w:t>
      </w:r>
      <w:r>
        <w:rPr>
          <w:rFonts w:ascii="Georgia" w:hAnsi="Georgia" w:eastAsia="Times New Roman"/>
          <w:color w:val="000000" w:themeColor="text1"/>
          <w:lang w:eastAsia="en-GB"/>
        </w:rPr>
        <w:t>was shown to be</w:t>
      </w:r>
      <w:r w:rsidRPr="0014144D">
        <w:rPr>
          <w:rFonts w:ascii="Georgia" w:hAnsi="Georgia" w:eastAsia="Times New Roman"/>
          <w:color w:val="000000" w:themeColor="text1"/>
          <w:lang w:eastAsia="en-GB"/>
        </w:rPr>
        <w:t xml:space="preserve"> amplified due to historical distrust of the community in public health authorities derived from historical racial discrimination (</w:t>
      </w:r>
      <w:r w:rsidRPr="0014144D">
        <w:rPr>
          <w:rFonts w:ascii="Georgia" w:hAnsi="Georgia" w:eastAsia="Times New Roman"/>
          <w:color w:val="000000" w:themeColor="text1"/>
          <w:lang w:val="en-GB" w:eastAsia="en-GB"/>
        </w:rPr>
        <w:t xml:space="preserve">Swords &amp; Sheni 2002, Kapadia et al, 2002,  </w:t>
      </w:r>
      <w:r w:rsidRPr="0014144D">
        <w:rPr>
          <w:rFonts w:ascii="Georgia" w:hAnsi="Georgia" w:eastAsia="Times New Roman"/>
          <w:color w:val="000000" w:themeColor="text1"/>
          <w:lang w:eastAsia="en-GB"/>
        </w:rPr>
        <w:t xml:space="preserve">Brandt 1978) and poor communication (other reasons for vaccine hesitancy are contracting COVID-19 before a </w:t>
      </w:r>
      <w:r w:rsidRPr="0014144D">
        <w:rPr>
          <w:rFonts w:ascii="Georgia" w:hAnsi="Georgia" w:eastAsia="Times New Roman"/>
          <w:color w:val="000000" w:themeColor="text1"/>
          <w:lang w:eastAsia="en-GB"/>
        </w:rPr>
        <w:t>vaccine appointment and the perception of increased immunity following infection). This is similar to qualitative studies, where additional factors were identified, including medical professionals' perceived inability to answer questions about side effects.</w:t>
      </w:r>
    </w:p>
    <w:p w:rsidRPr="0014144D" w:rsidR="002158A2" w:rsidP="6993879A" w:rsidRDefault="002158A2" w14:paraId="6ED81103" w14:textId="06773049">
      <w:pPr>
        <w:ind w:firstLine="720"/>
        <w:jc w:val="both"/>
        <w:rPr>
          <w:rFonts w:ascii="Georgia" w:hAnsi="Georgia" w:eastAsia="Times New Roman"/>
          <w:color w:val="000000" w:themeColor="text1"/>
          <w:lang w:val="en-US" w:eastAsia="en-GB"/>
        </w:rPr>
      </w:pPr>
      <w:r w:rsidRPr="6993879A">
        <w:rPr>
          <w:rFonts w:ascii="Georgia" w:hAnsi="Georgia" w:eastAsia="Times New Roman"/>
          <w:color w:val="000000" w:themeColor="text1"/>
          <w:lang w:val="en-US" w:eastAsia="en-GB"/>
        </w:rPr>
        <w:t>There is consensus in the epistemological literature on testimonial justification</w:t>
      </w:r>
      <w:r w:rsidRPr="6993879A">
        <w:rPr>
          <w:rStyle w:val="EndnoteReference"/>
          <w:rFonts w:ascii="Georgia" w:hAnsi="Georgia" w:eastAsia="Times New Roman"/>
          <w:color w:val="000000" w:themeColor="text1"/>
          <w:lang w:val="en-US" w:eastAsia="en-GB"/>
        </w:rPr>
        <w:endnoteReference w:id="6"/>
      </w:r>
      <w:r w:rsidRPr="6993879A">
        <w:rPr>
          <w:rFonts w:ascii="Georgia" w:hAnsi="Georgia" w:eastAsia="Times New Roman"/>
          <w:color w:val="000000" w:themeColor="text1"/>
          <w:lang w:val="en-US" w:eastAsia="en-GB"/>
        </w:rPr>
        <w:t xml:space="preserve"> that one should not trust a testifier that has a known track record of unreliability. Thus, any theory that predicts that it was irrational for these agents to distrust the expert view of institutions that have historically discriminated against them, will be hard pressed to dismiss these data.  </w:t>
      </w:r>
    </w:p>
    <w:p w:rsidRPr="0014144D" w:rsidR="002158A2" w:rsidP="00353926" w:rsidRDefault="002158A2" w14:paraId="3E2F945F" w14:textId="4E80DAEF">
      <w:pPr>
        <w:pStyle w:val="Normal1"/>
        <w:ind w:firstLine="720"/>
        <w:jc w:val="both"/>
        <w:rPr>
          <w:rFonts w:ascii="Georgia" w:hAnsi="Georgia" w:eastAsia="Garamond" w:cs="Garamond"/>
        </w:rPr>
      </w:pPr>
      <w:r w:rsidRPr="0014144D">
        <w:rPr>
          <w:rFonts w:ascii="Georgia" w:hAnsi="Georgia" w:eastAsia="Garamond" w:cs="Garamond"/>
        </w:rPr>
        <w:t>If these results are correct, the following plausible hypothesis for explaining the widespread skepticism towards the COVID-19 vaccine emerges: despite the ease of availability of good evidence regarding the health and safety of the COVID-19 vaccine coming from official sources (like PH authorities and officials, as well as scientific studies), th</w:t>
      </w:r>
      <w:r>
        <w:rPr>
          <w:rFonts w:ascii="Georgia" w:hAnsi="Georgia" w:eastAsia="Garamond" w:cs="Garamond"/>
        </w:rPr>
        <w:t>e evidence</w:t>
      </w:r>
      <w:r w:rsidRPr="0014144D">
        <w:rPr>
          <w:rFonts w:ascii="Georgia" w:hAnsi="Georgia" w:eastAsia="Garamond" w:cs="Garamond"/>
        </w:rPr>
        <w:t xml:space="preserve"> is often undercut by evidence of unreliability of the expert source</w:t>
      </w:r>
      <w:r>
        <w:rPr>
          <w:rFonts w:ascii="Georgia" w:hAnsi="Georgia" w:eastAsia="Garamond" w:cs="Garamond"/>
        </w:rPr>
        <w:t xml:space="preserve"> (e.g. inductive evidence coming from a history of e.g. institutional discrimination)</w:t>
      </w:r>
      <w:r w:rsidRPr="0014144D">
        <w:rPr>
          <w:rFonts w:ascii="Georgia" w:hAnsi="Georgia" w:eastAsia="Garamond" w:cs="Garamond"/>
        </w:rPr>
        <w:t xml:space="preserve">, and outweighed by misleading competing evidence from non-expert sources. </w:t>
      </w:r>
    </w:p>
    <w:p w:rsidRPr="0014144D" w:rsidR="002158A2" w:rsidP="00353926" w:rsidRDefault="002158A2" w14:paraId="7220F33E" w14:textId="77777777">
      <w:pPr>
        <w:pStyle w:val="Normal1"/>
        <w:ind w:firstLine="720"/>
        <w:jc w:val="both"/>
        <w:rPr>
          <w:rFonts w:ascii="Georgia" w:hAnsi="Georgia" w:eastAsia="Garamond" w:cs="Garamond"/>
        </w:rPr>
      </w:pPr>
    </w:p>
    <w:p w:rsidRPr="0014144D" w:rsidR="002158A2" w:rsidP="00353926" w:rsidRDefault="002158A2" w14:paraId="3ACD7622" w14:textId="77777777">
      <w:pPr>
        <w:pStyle w:val="Normal1"/>
        <w:jc w:val="both"/>
        <w:rPr>
          <w:rFonts w:ascii="Georgia" w:hAnsi="Georgia" w:eastAsia="Garamond" w:cs="Garamond"/>
        </w:rPr>
      </w:pPr>
    </w:p>
    <w:p w:rsidRPr="0014144D" w:rsidR="002158A2" w:rsidP="6993879A" w:rsidRDefault="002158A2" w14:paraId="3851107E" w14:textId="0DDF79A2">
      <w:pPr>
        <w:pStyle w:val="Normal1"/>
        <w:jc w:val="both"/>
        <w:rPr>
          <w:rFonts w:ascii="Georgia" w:hAnsi="Georgia" w:eastAsia="Garamond" w:cs="Garamond"/>
          <w:b w:val="1"/>
          <w:bCs w:val="1"/>
          <w:lang w:val="en-US"/>
        </w:rPr>
      </w:pPr>
      <w:r w:rsidRPr="6993879A" w:rsidR="6993879A">
        <w:rPr>
          <w:rFonts w:ascii="Georgia" w:hAnsi="Georgia" w:eastAsia="Garamond" w:cs="Garamond"/>
          <w:b w:val="1"/>
          <w:bCs w:val="1"/>
          <w:lang w:val="en-US"/>
        </w:rPr>
        <w:t>4. Epistemic Exclusion The Way Forward in Policy and Practice</w:t>
      </w:r>
    </w:p>
    <w:p w:rsidRPr="0014144D" w:rsidR="002158A2" w:rsidP="00353926" w:rsidRDefault="002158A2" w14:paraId="28004475" w14:textId="77777777">
      <w:pPr>
        <w:pStyle w:val="Normal1"/>
        <w:jc w:val="both"/>
        <w:rPr>
          <w:rFonts w:ascii="Georgia" w:hAnsi="Georgia" w:eastAsia="Garamond" w:cs="Garamond"/>
        </w:rPr>
      </w:pPr>
    </w:p>
    <w:p w:rsidRPr="0014144D" w:rsidR="002158A2" w:rsidP="6993879A" w:rsidRDefault="002158A2" w14:paraId="7BC22A8E" w14:textId="739C9C6D">
      <w:pPr>
        <w:pStyle w:val="Normal1"/>
        <w:jc w:val="both"/>
        <w:rPr>
          <w:rFonts w:ascii="Georgia" w:hAnsi="Georgia" w:eastAsia="Garamond" w:cs="Garamond"/>
          <w:lang w:val="en-US"/>
        </w:rPr>
      </w:pPr>
      <w:r w:rsidRPr="6993879A" w:rsidR="6993879A">
        <w:rPr>
          <w:rFonts w:ascii="Georgia" w:hAnsi="Georgia" w:eastAsia="Garamond" w:cs="Garamond"/>
          <w:lang w:val="en-US"/>
        </w:rPr>
        <w:t xml:space="preserve">The study utlined in the previous section evidences the vital link between ACB communities' vaccine skepticism and their lack of trust in PH measures and officials, government leaders, and scientific experts. Two triggers for rationally justified evidence rejections are most common in these communities: </w:t>
      </w:r>
      <w:r w:rsidRPr="6993879A" w:rsidR="6993879A">
        <w:rPr>
          <w:rFonts w:ascii="Georgia" w:hAnsi="Georgia" w:eastAsia="Garamond" w:cs="Garamond"/>
          <w:i w:val="1"/>
          <w:iCs w:val="1"/>
          <w:lang w:val="en-US"/>
        </w:rPr>
        <w:t>rebutting and undercutting</w:t>
      </w:r>
      <w:r w:rsidRPr="6993879A" w:rsidR="6993879A">
        <w:rPr>
          <w:rFonts w:ascii="Georgia" w:hAnsi="Georgia" w:eastAsia="Garamond" w:cs="Garamond"/>
          <w:lang w:val="en-US"/>
        </w:rPr>
        <w:t xml:space="preserve"> </w:t>
      </w:r>
      <w:r w:rsidRPr="6993879A" w:rsidR="6993879A">
        <w:rPr>
          <w:rFonts w:ascii="Georgia" w:hAnsi="Georgia" w:eastAsia="Garamond" w:cs="Garamond"/>
          <w:i w:val="1"/>
          <w:iCs w:val="1"/>
          <w:lang w:val="en-US"/>
        </w:rPr>
        <w:t>epistemic defeat</w:t>
      </w:r>
      <w:r w:rsidRPr="6993879A" w:rsidR="6993879A">
        <w:rPr>
          <w:rFonts w:ascii="Georgia" w:hAnsi="Georgia" w:eastAsia="Garamond" w:cs="Garamond"/>
          <w:lang w:val="en-US"/>
        </w:rPr>
        <w:t xml:space="preserve">. </w:t>
      </w:r>
      <w:r w:rsidRPr="6993879A" w:rsidR="6993879A">
        <w:rPr>
          <w:rFonts w:ascii="Georgia" w:hAnsi="Georgia" w:eastAsia="Garamond" w:cs="Garamond"/>
          <w:lang w:val="en-US"/>
        </w:rPr>
        <w:t xml:space="preserve">Rebutting defeat to expert testimony from a history of institutional unreliability, and undercutting epistemic defeat from non-expert sources. </w:t>
      </w:r>
      <w:r w:rsidRPr="6993879A" w:rsidR="6993879A">
        <w:rPr>
          <w:rFonts w:ascii="Georgia" w:hAnsi="Georgia" w:eastAsia="Garamond" w:cs="Garamond"/>
          <w:lang w:val="en-US"/>
        </w:rPr>
        <w:t>A</w:t>
      </w:r>
      <w:r w:rsidRPr="6993879A" w:rsidR="6993879A">
        <w:rPr>
          <w:rFonts w:ascii="Georgia" w:hAnsi="Georgia" w:eastAsia="Garamond" w:cs="Garamond"/>
          <w:lang w:val="en-US"/>
        </w:rPr>
        <w:t xml:space="preserve"> </w:t>
      </w:r>
      <w:r w:rsidRPr="6993879A" w:rsidR="6993879A">
        <w:rPr>
          <w:rFonts w:ascii="Georgia" w:hAnsi="Georgia" w:eastAsia="Garamond" w:cs="Garamond"/>
          <w:lang w:val="en-US"/>
        </w:rPr>
        <w:t xml:space="preserve">consequence of this is that those members of ACB ethnic groups who came to be skeptical about the effectiveness of COVID-19 vaccines did so </w:t>
      </w:r>
      <w:r w:rsidRPr="6993879A" w:rsidR="6993879A">
        <w:rPr>
          <w:rFonts w:ascii="Georgia" w:hAnsi="Georgia" w:eastAsia="Garamond" w:cs="Garamond"/>
          <w:i w:val="1"/>
          <w:iCs w:val="1"/>
          <w:lang w:val="en-US"/>
        </w:rPr>
        <w:t>rationally</w:t>
      </w:r>
      <w:r w:rsidRPr="6993879A" w:rsidR="6993879A">
        <w:rPr>
          <w:rFonts w:ascii="Georgia" w:hAnsi="Georgia" w:eastAsia="Garamond" w:cs="Garamond"/>
          <w:lang w:val="en-US"/>
        </w:rPr>
        <w:t xml:space="preserve"> since they </w:t>
      </w:r>
      <w:r w:rsidRPr="6993879A" w:rsidR="6993879A">
        <w:rPr>
          <w:rFonts w:ascii="Georgia" w:hAnsi="Georgia" w:eastAsia="Garamond" w:cs="Garamond"/>
          <w:lang w:val="en-US"/>
        </w:rPr>
        <w:t xml:space="preserve">(1) distrusted sources that they know to have a history of unreliability in previous interactions with ACB community members, and (2) </w:t>
      </w:r>
      <w:r w:rsidRPr="6993879A" w:rsidR="6993879A">
        <w:rPr>
          <w:rFonts w:ascii="Georgia" w:hAnsi="Georgia" w:eastAsia="Garamond" w:cs="Garamond"/>
          <w:lang w:val="en-US"/>
        </w:rPr>
        <w:t xml:space="preserve">trusted </w:t>
      </w:r>
      <w:r w:rsidRPr="6993879A" w:rsidR="6993879A">
        <w:rPr>
          <w:rFonts w:ascii="Georgia" w:hAnsi="Georgia" w:eastAsia="Garamond" w:cs="Garamond"/>
          <w:lang w:val="en-US"/>
        </w:rPr>
        <w:t xml:space="preserve">community internal </w:t>
      </w:r>
      <w:r w:rsidRPr="6993879A" w:rsidR="6993879A">
        <w:rPr>
          <w:rFonts w:ascii="Georgia" w:hAnsi="Georgia" w:eastAsia="Garamond" w:cs="Garamond"/>
          <w:lang w:val="en-US"/>
        </w:rPr>
        <w:t>sources of information that they know to be generally reliable</w:t>
      </w:r>
      <w:r w:rsidRPr="6993879A" w:rsidR="6993879A">
        <w:rPr>
          <w:rFonts w:ascii="Georgia" w:hAnsi="Georgia" w:eastAsia="Garamond" w:cs="Garamond"/>
          <w:lang w:val="en-US"/>
        </w:rPr>
        <w:t xml:space="preserve"> (although getting wrong on this particular topic: reliability is not infallibility)</w:t>
      </w:r>
      <w:r w:rsidRPr="6993879A" w:rsidR="6993879A">
        <w:rPr>
          <w:rFonts w:ascii="Georgia" w:hAnsi="Georgia" w:eastAsia="Garamond" w:cs="Garamond"/>
          <w:lang w:val="en-US"/>
        </w:rPr>
        <w:t xml:space="preserve">. </w:t>
      </w:r>
    </w:p>
    <w:p w:rsidRPr="0014144D" w:rsidR="002158A2" w:rsidP="00353926" w:rsidRDefault="002158A2" w14:paraId="3D1AA8FE" w14:textId="18F271B1">
      <w:pPr>
        <w:pStyle w:val="Normal1"/>
        <w:ind w:firstLine="720"/>
        <w:jc w:val="both"/>
        <w:rPr>
          <w:rFonts w:ascii="Georgia" w:hAnsi="Georgia" w:eastAsia="Garamond" w:cs="Garamond"/>
        </w:rPr>
      </w:pPr>
      <w:r w:rsidRPr="0014144D">
        <w:rPr>
          <w:rFonts w:ascii="Georgia" w:hAnsi="Georgia" w:eastAsia="Garamond" w:cs="Garamond"/>
        </w:rPr>
        <w:t xml:space="preserve">To address the challenge of vaccine hesitancy in ACB communities at the root, then, it is necessary to clear out the epistemic environment from polluting defeaters. A promising way of doing this is to build a network of </w:t>
      </w:r>
      <w:r w:rsidRPr="0014144D">
        <w:rPr>
          <w:rFonts w:ascii="Georgia" w:hAnsi="Georgia" w:eastAsia="Garamond" w:cs="Garamond"/>
          <w:i/>
        </w:rPr>
        <w:t>rational trust</w:t>
      </w:r>
      <w:r w:rsidRPr="0014144D">
        <w:rPr>
          <w:rFonts w:ascii="Georgia" w:hAnsi="Georgia" w:eastAsia="Garamond" w:cs="Garamond"/>
        </w:rPr>
        <w:t xml:space="preserve"> that guarantees the successful transmission and uptake of expert testimony in ACB communities. </w:t>
      </w:r>
    </w:p>
    <w:p w:rsidRPr="0014144D" w:rsidR="002158A2" w:rsidP="6993879A" w:rsidRDefault="002158A2" w14:paraId="42D1F509" w14:textId="7ED50E82">
      <w:pPr>
        <w:pStyle w:val="Normal1"/>
        <w:ind w:firstLine="720"/>
        <w:jc w:val="both"/>
        <w:rPr>
          <w:rFonts w:ascii="Georgia" w:hAnsi="Georgia" w:eastAsia="Garamond" w:cs="Garamond"/>
          <w:lang w:val="en-US"/>
        </w:rPr>
      </w:pPr>
      <w:r w:rsidRPr="6993879A" w:rsidR="6993879A">
        <w:rPr>
          <w:rFonts w:ascii="Georgia" w:hAnsi="Georgia" w:eastAsia="Garamond" w:cs="Garamond"/>
          <w:lang w:val="en-US"/>
        </w:rPr>
        <w:t>In broad terms, r</w:t>
      </w:r>
      <w:r w:rsidRPr="6993879A" w:rsidR="6993879A">
        <w:rPr>
          <w:rFonts w:ascii="Georgia" w:hAnsi="Georgia" w:eastAsia="Garamond" w:cs="Garamond"/>
          <w:lang w:val="en-US"/>
        </w:rPr>
        <w:t>ational trust requires that there be no defeating evidence to the trustworthiness of the trustee (Kelp and Simion 2020</w:t>
      </w:r>
      <w:r w:rsidRPr="6993879A" w:rsidR="6993879A">
        <w:rPr>
          <w:rFonts w:ascii="Georgia" w:hAnsi="Georgia" w:eastAsia="Garamond" w:cs="Garamond"/>
          <w:lang w:val="en-US"/>
        </w:rPr>
        <w:t>).</w:t>
      </w:r>
      <w:r w:rsidRPr="6993879A" w:rsidR="6993879A">
        <w:rPr>
          <w:rFonts w:ascii="Georgia" w:hAnsi="Georgia" w:eastAsia="Garamond" w:cs="Garamond"/>
          <w:lang w:val="en-US"/>
        </w:rPr>
        <w:t xml:space="preserve"> In turn, trustworth</w:t>
      </w:r>
      <w:r w:rsidRPr="6993879A" w:rsidR="6993879A">
        <w:rPr>
          <w:rFonts w:ascii="Georgia" w:hAnsi="Georgia" w:eastAsia="Garamond" w:cs="Garamond"/>
          <w:lang w:val="en-US"/>
        </w:rPr>
        <w:t>y agents are agents that have</w:t>
      </w:r>
      <w:r w:rsidRPr="6993879A" w:rsidR="6993879A">
        <w:rPr>
          <w:rFonts w:ascii="Georgia" w:hAnsi="Georgia" w:eastAsia="Garamond" w:cs="Garamond"/>
          <w:lang w:val="en-US"/>
        </w:rPr>
        <w:t xml:space="preserve"> a disposition to comply with one's contextually-determined obligations (Kelp and Simion 2023, Hawley 2019). In this way, the degrees of trustworthiness of an entity can be measured against a contextually-set threshold by measuring the disposition of norm-compliance of the relevant entities across two dimensions: its </w:t>
      </w:r>
      <w:r w:rsidRPr="6993879A" w:rsidR="6993879A">
        <w:rPr>
          <w:rFonts w:ascii="Georgia" w:hAnsi="Georgia" w:eastAsia="Garamond" w:cs="Garamond"/>
          <w:i w:val="1"/>
          <w:iCs w:val="1"/>
          <w:lang w:val="en-US"/>
        </w:rPr>
        <w:t>breath</w:t>
      </w:r>
      <w:r w:rsidRPr="6993879A" w:rsidR="6993879A">
        <w:rPr>
          <w:rFonts w:ascii="Georgia" w:hAnsi="Georgia" w:eastAsia="Garamond" w:cs="Garamond"/>
          <w:lang w:val="en-US"/>
        </w:rPr>
        <w:t xml:space="preserve"> (number of contextually-determined obligations that the entity has the disposition to comply with) and </w:t>
      </w:r>
      <w:r w:rsidRPr="6993879A" w:rsidR="6993879A">
        <w:rPr>
          <w:rFonts w:ascii="Georgia" w:hAnsi="Georgia" w:eastAsia="Garamond" w:cs="Garamond"/>
          <w:i w:val="1"/>
          <w:iCs w:val="1"/>
          <w:lang w:val="en-US"/>
        </w:rPr>
        <w:t>depth</w:t>
      </w:r>
      <w:r w:rsidRPr="6993879A" w:rsidR="6993879A">
        <w:rPr>
          <w:rFonts w:ascii="Georgia" w:hAnsi="Georgia" w:eastAsia="Garamond" w:cs="Garamond"/>
          <w:lang w:val="en-US"/>
        </w:rPr>
        <w:t xml:space="preserve"> (the strength of the disposition for norm-compliance).</w:t>
      </w:r>
    </w:p>
    <w:p w:rsidRPr="0014144D" w:rsidR="002158A2" w:rsidP="6993879A" w:rsidRDefault="002158A2" w14:paraId="5BD09734" w14:textId="5776B0CD">
      <w:pPr>
        <w:pStyle w:val="Normal1"/>
        <w:ind w:firstLine="720"/>
        <w:jc w:val="both"/>
        <w:rPr>
          <w:rFonts w:ascii="Georgia" w:hAnsi="Georgia" w:eastAsia="Garamond" w:cs="Garamond"/>
          <w:lang w:val="en-US"/>
        </w:rPr>
      </w:pPr>
      <w:r w:rsidRPr="6993879A" w:rsidR="6993879A">
        <w:rPr>
          <w:rFonts w:ascii="Georgia" w:hAnsi="Georgia" w:eastAsia="Garamond" w:cs="Garamond"/>
          <w:lang w:val="en-US"/>
        </w:rPr>
        <w:t>For groups and communities that have been, and still are, victims of institutionalized oppression, rational trust in the testimony sourced in those very institutions (e.g., government, education, healthcare) is very hard to come by —and rightly so, due to overwhelming defeat</w:t>
      </w:r>
      <w:r w:rsidRPr="6993879A" w:rsidR="6993879A">
        <w:rPr>
          <w:rFonts w:ascii="Georgia" w:hAnsi="Georgia" w:eastAsia="Garamond" w:cs="Garamond"/>
          <w:lang w:val="en-US"/>
        </w:rPr>
        <w:t>,</w:t>
      </w:r>
      <w:r w:rsidRPr="6993879A" w:rsidR="6993879A">
        <w:rPr>
          <w:rFonts w:ascii="Georgia" w:hAnsi="Georgia" w:eastAsia="Garamond" w:cs="Garamond"/>
          <w:lang w:val="en-US"/>
        </w:rPr>
        <w:t xml:space="preserve"> i.e. evidence of untrustworthiness. For this reason, the mere testimony from, say, PH officials that vaccines are safe will not be sufficient to generate rational trust in members of ACB communities, who inhabit an environment where undercutting evidence against the reliability of PH testimony or against the safety of vaccines is very common (and </w:t>
      </w:r>
      <w:r w:rsidRPr="6993879A" w:rsidR="6993879A">
        <w:rPr>
          <w:rFonts w:ascii="Georgia" w:hAnsi="Georgia" w:eastAsia="Garamond" w:cs="Garamond"/>
          <w:lang w:val="en-US"/>
        </w:rPr>
        <w:t xml:space="preserve">rightly so!). In these environments, for the PH to qualify as a trustworthy testifier (and thereby be in the game to be rationally trusted), the PH has to shoulder the obligation of defeating misleading evidence present in the communities it aims to reach, via engineering enhanced social epistemic environments. </w:t>
      </w:r>
      <w:r w:rsidRPr="6993879A" w:rsidR="6993879A">
        <w:rPr>
          <w:rFonts w:ascii="Georgia" w:hAnsi="Georgia" w:eastAsia="Garamond" w:cs="Garamond"/>
          <w:lang w:val="en-US"/>
        </w:rPr>
        <w:t xml:space="preserve">Epistemologically, it is predictable (Simion 2024b) that this will </w:t>
      </w:r>
      <w:r w:rsidRPr="6993879A" w:rsidR="6993879A">
        <w:rPr>
          <w:rFonts w:ascii="Georgia" w:hAnsi="Georgia" w:eastAsia="Garamond" w:cs="Garamond"/>
          <w:lang w:val="en-US"/>
        </w:rPr>
        <w:t xml:space="preserve">require: </w:t>
      </w:r>
      <w:r w:rsidRPr="6993879A" w:rsidR="6993879A">
        <w:rPr>
          <w:rFonts w:ascii="Georgia" w:hAnsi="Georgia" w:eastAsia="Garamond" w:cs="Garamond"/>
          <w:lang w:val="en-US"/>
        </w:rPr>
        <w:t xml:space="preserve">(1) </w:t>
      </w:r>
      <w:r w:rsidRPr="6993879A" w:rsidR="6993879A">
        <w:rPr>
          <w:rFonts w:ascii="Georgia" w:hAnsi="Georgia" w:eastAsia="Garamond" w:cs="Garamond"/>
          <w:i w:val="1"/>
          <w:iCs w:val="1"/>
          <w:lang w:val="en-US"/>
        </w:rPr>
        <w:t>Q</w:t>
      </w:r>
      <w:r w:rsidRPr="6993879A" w:rsidR="6993879A">
        <w:rPr>
          <w:rFonts w:ascii="Georgia" w:hAnsi="Georgia" w:eastAsia="Garamond" w:cs="Garamond"/>
          <w:i w:val="1"/>
          <w:iCs w:val="1"/>
          <w:lang w:val="en-US"/>
        </w:rPr>
        <w:t>uantitatively improved reliable p-evidence flow</w:t>
      </w:r>
      <w:r w:rsidRPr="6993879A" w:rsidR="6993879A">
        <w:rPr>
          <w:rFonts w:ascii="Georgia" w:hAnsi="Georgia" w:eastAsia="Garamond" w:cs="Garamond"/>
          <w:lang w:val="en-US"/>
        </w:rPr>
        <w:t xml:space="preserve">: this is a purely quantitative </w:t>
      </w:r>
      <w:r w:rsidRPr="6993879A" w:rsidR="6993879A">
        <w:rPr>
          <w:rFonts w:ascii="Georgia" w:hAnsi="Georgia" w:eastAsia="Garamond" w:cs="Garamond"/>
          <w:lang w:val="en-US"/>
        </w:rPr>
        <w:t>intervention</w:t>
      </w:r>
      <w:r w:rsidRPr="6993879A" w:rsidR="6993879A">
        <w:rPr>
          <w:rFonts w:ascii="Georgia" w:hAnsi="Georgia" w:eastAsia="Garamond" w:cs="Garamond"/>
          <w:lang w:val="en-US"/>
        </w:rPr>
        <w:t xml:space="preserve"> aimed to outweigh rebutting defeaters to the proposition that is asserted (e.g. p = ‘Vaccines are safe’) in the agent's environment. More evidence in favor of the scientifically well-supported facts will, in rational agents, work to outweigh the misleading evidence they have against the facts</w:t>
      </w:r>
      <w:r w:rsidRPr="6993879A" w:rsidR="6993879A">
        <w:rPr>
          <w:rFonts w:ascii="Georgia" w:hAnsi="Georgia" w:eastAsia="Garamond" w:cs="Garamond"/>
          <w:lang w:val="en-US"/>
        </w:rPr>
        <w:t xml:space="preserve">. (2) </w:t>
      </w:r>
      <w:r w:rsidRPr="6993879A" w:rsidR="6993879A">
        <w:rPr>
          <w:rFonts w:ascii="Georgia" w:hAnsi="Georgia" w:eastAsia="Garamond" w:cs="Garamond"/>
          <w:i w:val="1"/>
          <w:iCs w:val="1"/>
          <w:lang w:val="en-US"/>
        </w:rPr>
        <w:t>Qualitatively enhanced reliable p-evidence flow</w:t>
      </w:r>
      <w:r w:rsidRPr="6993879A" w:rsidR="6993879A">
        <w:rPr>
          <w:rFonts w:ascii="Georgia" w:hAnsi="Georgia" w:eastAsia="Garamond" w:cs="Garamond"/>
          <w:lang w:val="en-US"/>
        </w:rPr>
        <w:t xml:space="preserve">: this is a qualitative </w:t>
      </w:r>
      <w:r w:rsidRPr="6993879A" w:rsidR="6993879A">
        <w:rPr>
          <w:rFonts w:ascii="Georgia" w:hAnsi="Georgia" w:eastAsia="Garamond" w:cs="Garamond"/>
          <w:lang w:val="en-US"/>
        </w:rPr>
        <w:t>intervention</w:t>
      </w:r>
      <w:r w:rsidRPr="6993879A" w:rsidR="6993879A">
        <w:rPr>
          <w:rFonts w:ascii="Georgia" w:hAnsi="Georgia" w:eastAsia="Garamond" w:cs="Garamond"/>
          <w:lang w:val="en-US"/>
        </w:rPr>
        <w:t xml:space="preserve"> that aims to outweigh misleading evidence against p via evidence for p from sources that the agent (rationally) trusts</w:t>
      </w:r>
      <w:r w:rsidRPr="6993879A" w:rsidR="6993879A">
        <w:rPr>
          <w:rFonts w:ascii="Georgia" w:hAnsi="Georgia" w:eastAsia="Garamond" w:cs="Garamond"/>
          <w:lang w:val="en-US"/>
        </w:rPr>
        <w:t xml:space="preserve">. (3) </w:t>
      </w:r>
      <w:r w:rsidRPr="6993879A" w:rsidR="6993879A">
        <w:rPr>
          <w:rFonts w:ascii="Georgia" w:hAnsi="Georgia" w:eastAsia="Garamond" w:cs="Garamond"/>
          <w:i w:val="1"/>
          <w:iCs w:val="1"/>
          <w:lang w:val="en-US"/>
        </w:rPr>
        <w:t>Quantitatively and qualitatively enhanced evidence to combat undercutting defeat</w:t>
      </w:r>
      <w:r w:rsidRPr="6993879A" w:rsidR="6993879A">
        <w:rPr>
          <w:rFonts w:ascii="Georgia" w:hAnsi="Georgia" w:eastAsia="Garamond" w:cs="Garamond"/>
          <w:lang w:val="en-US"/>
        </w:rPr>
        <w:t xml:space="preserve">: flooding evidence-resistant communities with evidence from sources they trust in favor of the trustworthiness of sources they fail to trust due to misleading undercutting defeaters. </w:t>
      </w:r>
    </w:p>
    <w:p w:rsidRPr="0014144D" w:rsidR="002158A2" w:rsidP="6993879A" w:rsidRDefault="002158A2" w14:paraId="41C354C9" w14:textId="307A8362">
      <w:pPr>
        <w:pStyle w:val="Normal1"/>
        <w:ind w:firstLine="720"/>
        <w:jc w:val="both"/>
        <w:rPr>
          <w:rFonts w:ascii="Georgia" w:hAnsi="Georgia" w:eastAsia="Garamond" w:cs="Garamond"/>
          <w:lang w:val="en-US"/>
        </w:rPr>
      </w:pPr>
      <w:r w:rsidRPr="6993879A" w:rsidR="6993879A">
        <w:rPr>
          <w:rFonts w:ascii="Georgia" w:hAnsi="Georgia" w:eastAsia="Garamond" w:cs="Garamond"/>
          <w:lang w:val="en-US"/>
        </w:rPr>
        <w:t xml:space="preserve">All this might look like a complicated thing to do, and one might wonder, at this stage, why think that it is an obligation on the shoulders of PH officials to engage in such comlex epistemic environmental design. </w:t>
      </w:r>
    </w:p>
    <w:p w:rsidRPr="0014144D" w:rsidR="002158A2" w:rsidP="6993879A" w:rsidRDefault="002158A2" w14:paraId="4EE19896" w14:textId="23FC7F6C">
      <w:pPr>
        <w:pStyle w:val="Normal1"/>
        <w:ind w:firstLine="720"/>
        <w:jc w:val="both"/>
        <w:rPr>
          <w:rFonts w:ascii="Georgia" w:hAnsi="Georgia" w:eastAsia="Garamond" w:cs="Garamond"/>
          <w:lang w:val="en-US"/>
        </w:rPr>
      </w:pPr>
      <w:r w:rsidRPr="6993879A" w:rsidR="6993879A">
        <w:rPr>
          <w:rFonts w:ascii="Georgia" w:hAnsi="Georgia" w:eastAsia="Garamond" w:cs="Garamond"/>
          <w:lang w:val="en-US"/>
        </w:rPr>
        <w:t>The answer of what grounds these obligations, however, is pretty straightforward: it is an instance of the obligation that all communicators shoulder: in everyday terms, the obligation to tailor their message to their audience (Simion 2021a</w:t>
      </w:r>
      <w:r w:rsidRPr="6993879A" w:rsidR="6993879A">
        <w:rPr>
          <w:rFonts w:ascii="Georgia" w:hAnsi="Georgia" w:eastAsia="Garamond" w:cs="Garamond"/>
          <w:lang w:val="en-US"/>
        </w:rPr>
        <w:t>, Adekola 2024</w:t>
      </w:r>
      <w:r w:rsidRPr="6993879A" w:rsidR="6993879A">
        <w:rPr>
          <w:rFonts w:ascii="Georgia" w:hAnsi="Georgia" w:eastAsia="Garamond" w:cs="Garamond"/>
          <w:lang w:val="en-US"/>
        </w:rPr>
        <w:t>). (Note also that NH’s status as communicator, and thus as the right target for this normativity, is hardly uncertain: after all, communicating relevant health information is a constitutive part of health provision)</w:t>
      </w:r>
      <w:r w:rsidRPr="6993879A" w:rsidR="6993879A">
        <w:rPr>
          <w:rFonts w:ascii="Georgia" w:hAnsi="Georgia" w:eastAsia="Garamond" w:cs="Garamond"/>
          <w:lang w:val="en-US"/>
        </w:rPr>
        <w:t xml:space="preserve">. </w:t>
      </w:r>
      <w:r w:rsidRPr="6993879A" w:rsidR="6993879A">
        <w:rPr>
          <w:rFonts w:ascii="Georgia" w:hAnsi="Georgia" w:eastAsia="Garamond" w:cs="Garamond"/>
          <w:lang w:val="en-US"/>
        </w:rPr>
        <w:t>Or, in Gricean terms, it has to do with the quantity maxim, dropping straight out the background assumption of cooperation:  make your contribution as informative as possible. What is informative or not, however, varies from one audinece to another: telling our biologist colleague that the closure principle for knowledge is controversial is less informative to her than telling the same to our undergraduate students (because they (hopefully), but not her, have all the relevant concepts), but more informative to her (since she is now in a position to know that whatver ‘closure principle’ picks out, holds) than  our telling the same to our epistemologist colleague</w:t>
      </w:r>
      <w:r w:rsidRPr="6993879A" w:rsidR="6993879A">
        <w:rPr>
          <w:rFonts w:ascii="Georgia" w:hAnsi="Georgia" w:eastAsia="Garamond" w:cs="Garamond"/>
          <w:lang w:val="en-US"/>
        </w:rPr>
        <w:t xml:space="preserve"> Adam</w:t>
      </w:r>
      <w:r w:rsidRPr="6993879A" w:rsidR="6993879A">
        <w:rPr>
          <w:rFonts w:ascii="Georgia" w:hAnsi="Georgia" w:eastAsia="Garamond" w:cs="Garamond"/>
          <w:lang w:val="en-US"/>
        </w:rPr>
        <w:t xml:space="preserve">. </w:t>
      </w:r>
    </w:p>
    <w:p w:rsidRPr="0014144D" w:rsidR="002158A2" w:rsidP="6993879A" w:rsidRDefault="002158A2" w14:paraId="6594ECA1" w14:textId="160A23B2">
      <w:pPr>
        <w:pStyle w:val="Normal1"/>
        <w:jc w:val="both"/>
        <w:rPr>
          <w:rFonts w:ascii="Georgia" w:hAnsi="Georgia" w:eastAsia="Garamond" w:cs="Garamond"/>
          <w:lang w:val="en-US"/>
        </w:rPr>
      </w:pPr>
      <w:r w:rsidRPr="0014144D">
        <w:rPr>
          <w:rFonts w:ascii="Georgia" w:hAnsi="Georgia" w:eastAsia="Garamond" w:cs="Garamond"/>
        </w:rPr>
        <w:tab/>
      </w:r>
      <w:r w:rsidRPr="6993879A">
        <w:rPr>
          <w:rFonts w:ascii="Georgia" w:hAnsi="Georgia" w:eastAsia="Garamond" w:cs="Garamond"/>
          <w:lang w:val="en-US"/>
        </w:rPr>
        <w:t xml:space="preserve">There is another important normative difference here: When we tell Adam that closure is controversial, we merely bore him, or, at worst, we offend him (or he may wonder why we tell him such a well known fact about the literature). However, when we tell the biologist that the closure principle for knwoledge is controversial, there is an important sense in which we epistemically exclude her from the conversation: we know well that the biologist doesn’t have all the concepts required to understand what we just said, and we go ahead and say it anyway. What we inflict on her is an epistemic injustice: via employing concepts that we are well aware she lacks in the process of addressing her, we are harming her in her capacity as a knower – in particular, in her capacity as receiver of testimony – via epistemically excluding her from the audience of a message that is addressed to her. </w:t>
      </w:r>
    </w:p>
    <w:p w:rsidRPr="0014144D" w:rsidR="002158A2" w:rsidP="6993879A" w:rsidRDefault="002158A2" w14:paraId="3AFBCDA6" w14:textId="19B9C453">
      <w:pPr>
        <w:pStyle w:val="Normal1"/>
        <w:jc w:val="both"/>
        <w:rPr>
          <w:rFonts w:ascii="Georgia" w:hAnsi="Georgia" w:eastAsia="Garamond" w:cs="Garamond"/>
          <w:lang w:val="en-US"/>
        </w:rPr>
      </w:pPr>
      <w:r w:rsidRPr="0014144D">
        <w:rPr>
          <w:rFonts w:ascii="Georgia" w:hAnsi="Georgia" w:eastAsia="Garamond" w:cs="Garamond"/>
        </w:rPr>
        <w:tab/>
      </w:r>
      <w:r w:rsidRPr="6993879A">
        <w:rPr>
          <w:rFonts w:ascii="Georgia" w:hAnsi="Georgia" w:eastAsia="Garamond" w:cs="Garamond"/>
          <w:lang w:val="en-US"/>
        </w:rPr>
        <w:t xml:space="preserve">Epistemic exclusion consists in debaring subjects from fully participating in the audience of a message via epistemic tools. In turn, </w:t>
      </w:r>
      <w:r w:rsidRPr="6993879A">
        <w:rPr>
          <w:rFonts w:ascii="Georgia" w:hAnsi="Georgia" w:eastAsia="Garamond" w:cs="Garamond"/>
          <w:i w:val="1"/>
          <w:iCs w:val="1"/>
          <w:lang w:val="en-US"/>
        </w:rPr>
        <w:t>unjust</w:t>
      </w:r>
      <w:r w:rsidRPr="6993879A">
        <w:rPr>
          <w:rFonts w:ascii="Georgia" w:hAnsi="Georgia" w:eastAsia="Garamond" w:cs="Garamond"/>
          <w:lang w:val="en-US"/>
        </w:rPr>
        <w:t xml:space="preserve"> epistemic exclusion occurs when the subjects in question have a right to fully participate in the audience of the relevant message.</w:t>
      </w:r>
    </w:p>
    <w:p w:rsidRPr="0014144D" w:rsidR="002158A2" w:rsidP="1B324241" w:rsidRDefault="002158A2" w14:paraId="46E76B81" w14:textId="77777777">
      <w:pPr>
        <w:pStyle w:val="Normal1"/>
        <w:jc w:val="both"/>
        <w:rPr>
          <w:rFonts w:ascii="Georgia" w:hAnsi="Georgia" w:eastAsia="Garamond" w:cs="Garamond"/>
          <w:lang w:val="en-US"/>
        </w:rPr>
      </w:pPr>
      <w:r w:rsidRPr="0014144D">
        <w:rPr>
          <w:rFonts w:ascii="Georgia" w:hAnsi="Georgia" w:eastAsia="Garamond" w:cs="Garamond"/>
        </w:rPr>
        <w:tab/>
      </w:r>
      <w:r w:rsidRPr="1B324241">
        <w:rPr>
          <w:rFonts w:ascii="Georgia" w:hAnsi="Georgia" w:eastAsia="Garamond" w:cs="Garamond"/>
          <w:lang w:val="en-US"/>
        </w:rPr>
        <w:t xml:space="preserve">The biologist’s case is a case of epistemic exclusion via exploiting a conceptual gap. But epistemically excluding a hearer from the audience of a particular communicated message need not work via the conceptual route: after all, lack of the concepts involved are just one possible epistemic barrier against informativeness. </w:t>
      </w:r>
    </w:p>
    <w:p w:rsidRPr="0014144D" w:rsidR="002158A2" w:rsidP="6993879A" w:rsidRDefault="002158A2" w14:paraId="62C7272D" w14:textId="4E6D55C7">
      <w:pPr>
        <w:pStyle w:val="Normal1"/>
        <w:ind w:firstLine="720"/>
        <w:jc w:val="both"/>
        <w:rPr>
          <w:rFonts w:ascii="Georgia" w:hAnsi="Georgia"/>
          <w:color w:val="0F1111"/>
          <w:shd w:val="clear" w:color="auto" w:fill="FFFFFF"/>
          <w:lang w:val="en-US"/>
        </w:rPr>
      </w:pPr>
      <w:r w:rsidRPr="6993879A">
        <w:rPr>
          <w:rFonts w:ascii="Georgia" w:hAnsi="Georgia"/>
          <w:color w:val="0F1111"/>
          <w:shd w:val="clear" w:color="auto" w:fill="FFFFFF"/>
          <w:lang w:val="en-US"/>
        </w:rPr>
        <w:t>The most starightforward way to epistemically exclude a party from the proper audience of a communicated message is via exploiting known differences in the evidential backgrounds of the audience to this effect</w:t>
      </w:r>
      <w:r w:rsidRPr="6993879A">
        <w:rPr>
          <w:rFonts w:ascii="Georgia" w:hAnsi="Georgia"/>
          <w:color w:val="0F1111"/>
          <w:shd w:val="clear" w:color="auto" w:fill="FFFFFF"/>
          <w:lang w:val="en-US"/>
        </w:rPr>
        <w:t>.</w:t>
      </w:r>
      <w:r w:rsidRPr="6993879A">
        <w:rPr>
          <w:rFonts w:ascii="Georgia" w:hAnsi="Georgia"/>
          <w:color w:val="0F1111"/>
          <w:shd w:val="clear" w:color="auto" w:fill="FFFFFF"/>
          <w:lang w:val="en-US"/>
        </w:rPr>
        <w:t xml:space="preserve"> </w:t>
      </w:r>
      <w:r w:rsidRPr="6993879A">
        <w:rPr>
          <w:rFonts w:ascii="Georgia" w:hAnsi="Georgia" w:eastAsia="Garamond" w:cs="Garamond"/>
          <w:lang w:val="en-US"/>
        </w:rPr>
        <w:t>Jenny Saul’s (2024) examples of dogwhistles in political speach are an</w:t>
      </w:r>
      <w:r w:rsidRPr="6993879A">
        <w:rPr>
          <w:rFonts w:ascii="Georgia" w:hAnsi="Georgia" w:eastAsia="Garamond" w:cs="Garamond"/>
          <w:lang w:val="en-US"/>
        </w:rPr>
        <w:t xml:space="preserve"> intentional</w:t>
      </w:r>
      <w:r w:rsidRPr="6993879A">
        <w:rPr>
          <w:rFonts w:ascii="Georgia" w:hAnsi="Georgia" w:eastAsia="Garamond" w:cs="Garamond"/>
          <w:lang w:val="en-US"/>
        </w:rPr>
        <w:t xml:space="preserve"> incarnation of th</w:t>
      </w:r>
      <w:r w:rsidRPr="6993879A">
        <w:rPr>
          <w:rFonts w:ascii="Georgia" w:hAnsi="Georgia" w:eastAsia="Garamond" w:cs="Garamond"/>
          <w:lang w:val="en-US"/>
        </w:rPr>
        <w:t>is</w:t>
      </w:r>
      <w:r w:rsidRPr="6993879A">
        <w:rPr>
          <w:rFonts w:ascii="Georgia" w:hAnsi="Georgia" w:eastAsia="Garamond" w:cs="Garamond"/>
          <w:lang w:val="en-US"/>
        </w:rPr>
        <w:t xml:space="preserve"> phenomenon: they paradigmatically </w:t>
      </w:r>
      <w:r w:rsidRPr="6993879A">
        <w:rPr>
          <w:rFonts w:ascii="Georgia" w:hAnsi="Georgia"/>
          <w:color w:val="0F1111"/>
          <w:shd w:val="clear" w:color="auto" w:fill="FFFFFF"/>
          <w:lang w:val="en-US"/>
        </w:rPr>
        <w:t>serve to disguise messages that would otherwise be rejected as unacceptable by the audience addressed, while, at the same time, allowing them to be transmitted surreptitiously to audineces that would approve of them. Other dogwhistles work by influencing people in ways that they are not aware of, and which they would likely reject were they aware. Saul argues that these devices are important for the spread of racist discourse. These devices harm members of the addressed audience in thier capacity as knowers either by full exclusion from the audience (in the first case), of by inducing uncritical acceptance in the second.</w:t>
      </w:r>
    </w:p>
    <w:p w:rsidR="002158A2" w:rsidP="6993879A" w:rsidRDefault="002158A2" w14:paraId="13742437" w14:textId="7354D926">
      <w:pPr>
        <w:pStyle w:val="Normal1"/>
        <w:jc w:val="both"/>
        <w:rPr>
          <w:rFonts w:ascii="Georgia" w:hAnsi="Georgia"/>
          <w:color w:val="0F1111"/>
          <w:shd w:val="clear" w:color="auto" w:fill="FFFFFF"/>
          <w:lang w:val="en-US"/>
        </w:rPr>
      </w:pPr>
      <w:r w:rsidRPr="0014144D">
        <w:rPr>
          <w:rFonts w:ascii="Georgia" w:hAnsi="Georgia"/>
          <w:color w:val="0F1111"/>
          <w:shd w:val="clear" w:color="auto" w:fill="FFFFFF"/>
        </w:rPr>
        <w:tab/>
      </w:r>
      <w:r w:rsidRPr="6993879A">
        <w:rPr>
          <w:rFonts w:ascii="Georgia" w:hAnsi="Georgia"/>
          <w:color w:val="0F1111"/>
          <w:shd w:val="clear" w:color="auto" w:fill="FFFFFF"/>
          <w:lang w:val="en-US"/>
        </w:rPr>
        <w:t>Crucially</w:t>
      </w:r>
      <w:r w:rsidRPr="6993879A">
        <w:rPr>
          <w:rFonts w:ascii="Georgia" w:hAnsi="Georgia"/>
          <w:color w:val="0F1111"/>
          <w:shd w:val="clear" w:color="auto" w:fill="FFFFFF"/>
          <w:lang w:val="en-US"/>
        </w:rPr>
        <w:t xml:space="preserve">, however, epistemically excluding audience members through taking advantage of their evidential backgrounds need not go via intentionally disguising content: like all injustices, epistemic exclusion need not be intentionally inflicted. The same variety of epistemic injustice can be inflicted unintentionally. When this is so, the injustice is not inflicted via adjusting content such as to obscure it from view for a target audience (as in the cases above), but rather via negligently not not duly adjusting the content of one’s messaging to the (known) evidential backgrounds of members of the audience. </w:t>
      </w:r>
      <w:r w:rsidRPr="6993879A">
        <w:rPr>
          <w:rFonts w:ascii="Georgia" w:hAnsi="Georgia"/>
          <w:color w:val="0F1111"/>
          <w:shd w:val="clear" w:color="auto" w:fill="FFFFFF"/>
          <w:lang w:val="en-US"/>
        </w:rPr>
        <w:t>The case of the biologist and the closure principle is a case in point. Similarly, w</w:t>
      </w:r>
      <w:r w:rsidRPr="6993879A">
        <w:rPr>
          <w:rFonts w:ascii="Georgia" w:hAnsi="Georgia"/>
          <w:color w:val="0F1111"/>
          <w:shd w:val="clear" w:color="auto" w:fill="FFFFFF"/>
          <w:lang w:val="en-US"/>
        </w:rPr>
        <w:t xml:space="preserve">hen we are invited ot give a public talk to a non-specialist audience and we just lazily pick some slides that we’ve given at a professional philosophy talk, we are epistemically excluding a vast majority of the members of the group we are addressing from the audience of the talk. </w:t>
      </w:r>
    </w:p>
    <w:p w:rsidR="00714CF1" w:rsidP="6993879A" w:rsidRDefault="002158A2" w14:paraId="738B72B5" w14:textId="7A7B261A">
      <w:pPr>
        <w:pStyle w:val="Normal1"/>
        <w:ind w:firstLine="720"/>
        <w:jc w:val="both"/>
        <w:rPr>
          <w:rFonts w:ascii="Georgia" w:hAnsi="Georgia"/>
          <w:color w:val="0F1111"/>
          <w:shd w:val="clear" w:color="auto" w:fill="FFFFFF"/>
          <w:lang w:val="en-US"/>
        </w:rPr>
      </w:pPr>
      <w:r w:rsidRPr="6993879A">
        <w:rPr>
          <w:rFonts w:ascii="Georgia" w:hAnsi="Georgia"/>
          <w:color w:val="0F1111"/>
          <w:shd w:val="clear" w:color="auto" w:fill="FFFFFF"/>
          <w:lang w:val="en-US"/>
        </w:rPr>
        <w:t>Similarly, w</w:t>
      </w:r>
      <w:r w:rsidRPr="6993879A">
        <w:rPr>
          <w:rFonts w:ascii="Georgia" w:hAnsi="Georgia"/>
          <w:color w:val="0F1111"/>
          <w:shd w:val="clear" w:color="auto" w:fill="FFFFFF"/>
          <w:lang w:val="en-US"/>
        </w:rPr>
        <w:t>hen authorities</w:t>
      </w:r>
      <w:r w:rsidRPr="6993879A">
        <w:rPr>
          <w:rFonts w:ascii="Georgia" w:hAnsi="Georgia"/>
          <w:color w:val="0F1111"/>
          <w:shd w:val="clear" w:color="auto" w:fill="FFFFFF"/>
          <w:lang w:val="en-US"/>
        </w:rPr>
        <w:t xml:space="preserve"> and expert groups</w:t>
      </w:r>
      <w:r w:rsidRPr="6993879A">
        <w:rPr>
          <w:rFonts w:ascii="Georgia" w:hAnsi="Georgia"/>
          <w:color w:val="0F1111"/>
          <w:shd w:val="clear" w:color="auto" w:fill="FFFFFF"/>
          <w:lang w:val="en-US"/>
        </w:rPr>
        <w:t xml:space="preserve"> put in place </w:t>
      </w:r>
      <w:r w:rsidRPr="6993879A">
        <w:rPr>
          <w:rFonts w:ascii="Georgia" w:hAnsi="Georgia"/>
          <w:color w:val="0F1111"/>
          <w:shd w:val="clear" w:color="auto" w:fill="FFFFFF"/>
          <w:lang w:val="en-US"/>
        </w:rPr>
        <w:t>an epistemically unified</w:t>
      </w:r>
      <w:r w:rsidRPr="6993879A">
        <w:rPr>
          <w:rFonts w:ascii="Georgia" w:hAnsi="Georgia"/>
          <w:color w:val="0F1111"/>
          <w:shd w:val="clear" w:color="auto" w:fill="FFFFFF"/>
          <w:lang w:val="en-US"/>
        </w:rPr>
        <w:t xml:space="preserve"> communication strategy for all target communities, in spite of the very different evidential profiles in place, they inflict epistemic injustice on audiences inhabiting environments known to be populated with heavy defeat</w:t>
      </w:r>
      <w:r w:rsidRPr="6993879A">
        <w:rPr>
          <w:rFonts w:ascii="Georgia" w:hAnsi="Georgia"/>
          <w:color w:val="0F1111"/>
          <w:shd w:val="clear" w:color="auto" w:fill="FFFFFF"/>
          <w:lang w:val="en-US"/>
        </w:rPr>
        <w:t>, via epistemically excluding them from the audience of the messaging put in place. To be sure, in the best of cases, health authorities appear to be sensitive to the different evidential backgrounds at stake in audiences of vaccine safety communication. For instance, in Scotland, the Public Health Covid-19 communication strategy was aimed specifically to be inclusive of various audiences.</w:t>
      </w:r>
      <w:r w:rsidRPr="6993879A">
        <w:rPr>
          <w:rStyle w:val="EndnoteReference"/>
          <w:rFonts w:ascii="Georgia" w:hAnsi="Georgia"/>
          <w:color w:val="0F1111"/>
          <w:shd w:val="clear" w:color="auto" w:fill="FFFFFF"/>
          <w:lang w:val="en-US"/>
        </w:rPr>
        <w:t xml:space="preserve"> </w:t>
      </w:r>
      <w:r w:rsidRPr="6993879A">
        <w:rPr>
          <w:rStyle w:val="EndnoteReference"/>
          <w:rFonts w:ascii="Georgia" w:hAnsi="Georgia"/>
          <w:color w:val="0F1111"/>
          <w:shd w:val="clear" w:color="auto" w:fill="FFFFFF"/>
          <w:lang w:val="en-US"/>
        </w:rPr>
        <w:endnoteReference w:id="7"/>
      </w:r>
      <w:r w:rsidRPr="6993879A">
        <w:rPr>
          <w:rFonts w:ascii="Georgia" w:hAnsi="Georgia"/>
          <w:color w:val="0F1111"/>
          <w:shd w:val="clear" w:color="auto" w:fill="FFFFFF"/>
          <w:lang w:val="en-US"/>
        </w:rPr>
        <w:t xml:space="preserve"> Strategies to this effect included leaflets in several languages, and videos addressing known practical concerns of particular communities.</w:t>
      </w:r>
      <w:r w:rsidRPr="6993879A">
        <w:rPr>
          <w:rStyle w:val="EndnoteReference"/>
          <w:rFonts w:ascii="Georgia" w:hAnsi="Georgia"/>
          <w:color w:val="0F1111"/>
          <w:shd w:val="clear" w:color="auto" w:fill="FFFFFF"/>
          <w:lang w:val="en-US"/>
        </w:rPr>
        <w:endnoteReference w:id="8"/>
      </w:r>
      <w:r w:rsidRPr="6993879A">
        <w:rPr>
          <w:rFonts w:ascii="Georgia" w:hAnsi="Georgia"/>
          <w:color w:val="0F1111"/>
          <w:shd w:val="clear" w:color="auto" w:fill="FFFFFF"/>
          <w:lang w:val="en-US"/>
        </w:rPr>
        <w:t xml:space="preserve"> </w:t>
      </w:r>
      <w:r w:rsidRPr="6993879A" w:rsidR="005D7B80">
        <w:rPr>
          <w:rFonts w:ascii="Georgia" w:hAnsi="Georgia"/>
          <w:color w:val="0F1111"/>
          <w:shd w:val="clear" w:color="auto" w:fill="FFFFFF"/>
          <w:lang w:val="en-US"/>
        </w:rPr>
        <w:t xml:space="preserve">However, while linguistic and prudential diversity was </w:t>
      </w:r>
      <w:r w:rsidRPr="6993879A" w:rsidR="003D5F42">
        <w:rPr>
          <w:rFonts w:ascii="Georgia" w:hAnsi="Georgia"/>
          <w:color w:val="0F1111"/>
          <w:shd w:val="clear" w:color="auto" w:fill="FFFFFF"/>
          <w:lang w:val="en-US"/>
        </w:rPr>
        <w:t>well</w:t>
      </w:r>
      <w:r w:rsidRPr="6993879A" w:rsidR="005D7B80">
        <w:rPr>
          <w:rFonts w:ascii="Georgia" w:hAnsi="Georgia"/>
          <w:color w:val="0F1111"/>
          <w:shd w:val="clear" w:color="auto" w:fill="FFFFFF"/>
          <w:lang w:val="en-US"/>
        </w:rPr>
        <w:t xml:space="preserve"> addressed by these strateg</w:t>
      </w:r>
      <w:r w:rsidRPr="6993879A" w:rsidR="00227275">
        <w:rPr>
          <w:rFonts w:ascii="Georgia" w:hAnsi="Georgia"/>
          <w:color w:val="0F1111"/>
          <w:shd w:val="clear" w:color="auto" w:fill="FFFFFF"/>
          <w:lang w:val="en-US"/>
        </w:rPr>
        <w:t>ies</w:t>
      </w:r>
      <w:r w:rsidRPr="6993879A" w:rsidR="005D7B80">
        <w:rPr>
          <w:rFonts w:ascii="Georgia" w:hAnsi="Georgia"/>
          <w:color w:val="0F1111"/>
          <w:shd w:val="clear" w:color="auto" w:fill="FFFFFF"/>
          <w:lang w:val="en-US"/>
        </w:rPr>
        <w:t xml:space="preserve">, epistemic diversity seems </w:t>
      </w:r>
      <w:r w:rsidRPr="6993879A" w:rsidR="00227275">
        <w:rPr>
          <w:rFonts w:ascii="Georgia" w:hAnsi="Georgia"/>
          <w:color w:val="0F1111"/>
          <w:shd w:val="clear" w:color="auto" w:fill="FFFFFF"/>
          <w:lang w:val="en-US"/>
        </w:rPr>
        <w:t>to</w:t>
      </w:r>
      <w:r w:rsidRPr="6993879A" w:rsidR="005D7B80">
        <w:rPr>
          <w:rFonts w:ascii="Georgia" w:hAnsi="Georgia"/>
          <w:color w:val="0F1111"/>
          <w:shd w:val="clear" w:color="auto" w:fill="FFFFFF"/>
          <w:lang w:val="en-US"/>
        </w:rPr>
        <w:t xml:space="preserve"> have been mostly ignored, or misunderstood, in both quantitative (concerning amount of evidence) and qualitative (concerning type of evidence) terms. For instance, quantitatively, vaccine information was uniformly distributed, ignoring differences in local </w:t>
      </w:r>
      <w:r w:rsidRPr="6993879A" w:rsidR="00227275">
        <w:rPr>
          <w:rFonts w:ascii="Georgia" w:hAnsi="Georgia"/>
          <w:color w:val="0F1111"/>
          <w:shd w:val="clear" w:color="auto" w:fill="FFFFFF"/>
          <w:lang w:val="en-US"/>
        </w:rPr>
        <w:t>levels of rebutting defeat that needed to be defeated for t</w:t>
      </w:r>
      <w:r w:rsidRPr="6993879A" w:rsidR="003365E0">
        <w:rPr>
          <w:rFonts w:ascii="Georgia" w:hAnsi="Georgia"/>
          <w:color w:val="0F1111"/>
          <w:shd w:val="clear" w:color="auto" w:fill="FFFFFF"/>
          <w:lang w:val="en-US"/>
        </w:rPr>
        <w:t>he</w:t>
      </w:r>
      <w:r w:rsidRPr="6993879A" w:rsidR="00227275">
        <w:rPr>
          <w:rFonts w:ascii="Georgia" w:hAnsi="Georgia"/>
          <w:color w:val="0F1111"/>
          <w:shd w:val="clear" w:color="auto" w:fill="FFFFFF"/>
          <w:lang w:val="en-US"/>
        </w:rPr>
        <w:t xml:space="preserve"> messaging to afford rational uptake. Furthermore, w</w:t>
      </w:r>
      <w:r w:rsidRPr="6993879A" w:rsidR="005D7B80">
        <w:rPr>
          <w:rFonts w:ascii="Georgia" w:hAnsi="Georgia"/>
          <w:color w:val="0F1111"/>
          <w:shd w:val="clear" w:color="auto" w:fill="FFFFFF"/>
          <w:lang w:val="en-US"/>
        </w:rPr>
        <w:t>hile leaflets recommending the Covid vaccine were multilingual, they came with a uniform message</w:t>
      </w:r>
      <w:r w:rsidRPr="6993879A" w:rsidR="00227275">
        <w:rPr>
          <w:rFonts w:ascii="Georgia" w:hAnsi="Georgia"/>
          <w:color w:val="0F1111"/>
          <w:shd w:val="clear" w:color="auto" w:fill="FFFFFF"/>
          <w:lang w:val="en-US"/>
        </w:rPr>
        <w:t>, ignoring diversity of evidential needs</w:t>
      </w:r>
      <w:r w:rsidRPr="6993879A" w:rsidR="005D7B80">
        <w:rPr>
          <w:rFonts w:ascii="Georgia" w:hAnsi="Georgia"/>
          <w:color w:val="0F1111"/>
          <w:shd w:val="clear" w:color="auto" w:fill="FFFFFF"/>
          <w:lang w:val="en-US"/>
        </w:rPr>
        <w:t xml:space="preserve">. </w:t>
      </w:r>
      <w:r w:rsidRPr="6993879A" w:rsidR="00227275">
        <w:rPr>
          <w:rFonts w:ascii="Georgia" w:hAnsi="Georgia"/>
          <w:color w:val="0F1111"/>
          <w:shd w:val="clear" w:color="auto" w:fill="FFFFFF"/>
          <w:lang w:val="en-US"/>
        </w:rPr>
        <w:t>Finally</w:t>
      </w:r>
      <w:r w:rsidRPr="6993879A" w:rsidR="005D7B80">
        <w:rPr>
          <w:rFonts w:ascii="Georgia" w:hAnsi="Georgia"/>
          <w:color w:val="0F1111"/>
          <w:shd w:val="clear" w:color="auto" w:fill="FFFFFF"/>
          <w:lang w:val="en-US"/>
        </w:rPr>
        <w:t>, videos distributed explaining the safety features of vaccines were</w:t>
      </w:r>
      <w:r w:rsidRPr="6993879A" w:rsidR="003365E0">
        <w:rPr>
          <w:rFonts w:ascii="Georgia" w:hAnsi="Georgia"/>
          <w:color w:val="0F1111"/>
          <w:shd w:val="clear" w:color="auto" w:fill="FFFFFF"/>
          <w:lang w:val="en-US"/>
        </w:rPr>
        <w:t>, to a large extent,</w:t>
      </w:r>
      <w:r w:rsidRPr="6993879A" w:rsidR="005D7B80">
        <w:rPr>
          <w:rFonts w:ascii="Georgia" w:hAnsi="Georgia"/>
          <w:color w:val="0F1111"/>
          <w:shd w:val="clear" w:color="auto" w:fill="FFFFFF"/>
          <w:lang w:val="en-US"/>
        </w:rPr>
        <w:t xml:space="preserve"> featuring demographically non-diverse experts, thus ignoring that undercutting defeat from historical untrustworthiness will render such testimonies evidentially void. Trustworthy voices from the communites in question</w:t>
      </w:r>
      <w:r w:rsidRPr="6993879A" w:rsidR="00227275">
        <w:rPr>
          <w:rFonts w:ascii="Georgia" w:hAnsi="Georgia"/>
          <w:color w:val="0F1111"/>
          <w:shd w:val="clear" w:color="auto" w:fill="FFFFFF"/>
          <w:lang w:val="en-US"/>
        </w:rPr>
        <w:t xml:space="preserve"> (community leaders, community experts)</w:t>
      </w:r>
      <w:r w:rsidRPr="6993879A" w:rsidR="005D7B80">
        <w:rPr>
          <w:rFonts w:ascii="Georgia" w:hAnsi="Georgia"/>
          <w:color w:val="0F1111"/>
          <w:shd w:val="clear" w:color="auto" w:fill="FFFFFF"/>
          <w:lang w:val="en-US"/>
        </w:rPr>
        <w:t xml:space="preserve"> were not brought to </w:t>
      </w:r>
      <w:r w:rsidRPr="6993879A" w:rsidR="00227275">
        <w:rPr>
          <w:rFonts w:ascii="Georgia" w:hAnsi="Georgia"/>
          <w:color w:val="0F1111"/>
          <w:shd w:val="clear" w:color="auto" w:fill="FFFFFF"/>
          <w:lang w:val="en-US"/>
        </w:rPr>
        <w:t xml:space="preserve">support the communication efforts, thus ignoring and not utilising the qualitative epistemic superiority of such testimony for communities’ members. </w:t>
      </w:r>
    </w:p>
    <w:p w:rsidRPr="0014144D" w:rsidR="00227275" w:rsidP="00227275" w:rsidRDefault="00227275" w14:paraId="5AAF3AF1" w14:textId="6F3DB335">
      <w:pPr>
        <w:pStyle w:val="Normal1"/>
        <w:ind w:firstLine="720"/>
        <w:jc w:val="both"/>
        <w:rPr>
          <w:rFonts w:ascii="Georgia" w:hAnsi="Georgia"/>
          <w:color w:val="0F1111"/>
          <w:shd w:val="clear" w:color="auto" w:fill="FFFFFF"/>
        </w:rPr>
      </w:pPr>
      <w:r>
        <w:rPr>
          <w:rFonts w:ascii="Georgia" w:hAnsi="Georgia"/>
          <w:color w:val="0F1111"/>
          <w:shd w:val="clear" w:color="auto" w:fill="FFFFFF"/>
        </w:rPr>
        <w:t>We submit that w</w:t>
      </w:r>
      <w:r w:rsidRPr="0014144D">
        <w:rPr>
          <w:rFonts w:ascii="Georgia" w:hAnsi="Georgia"/>
          <w:color w:val="0F1111"/>
          <w:shd w:val="clear" w:color="auto" w:fill="FFFFFF"/>
        </w:rPr>
        <w:t>hen authorities</w:t>
      </w:r>
      <w:r w:rsidR="00F00F0B">
        <w:rPr>
          <w:rFonts w:ascii="Georgia" w:hAnsi="Georgia"/>
          <w:color w:val="0F1111"/>
          <w:shd w:val="clear" w:color="auto" w:fill="FFFFFF"/>
        </w:rPr>
        <w:t xml:space="preserve"> and expert groups</w:t>
      </w:r>
      <w:r w:rsidRPr="0014144D">
        <w:rPr>
          <w:rFonts w:ascii="Georgia" w:hAnsi="Georgia"/>
          <w:color w:val="0F1111"/>
          <w:shd w:val="clear" w:color="auto" w:fill="FFFFFF"/>
        </w:rPr>
        <w:t xml:space="preserve"> put in place </w:t>
      </w:r>
      <w:r>
        <w:rPr>
          <w:rFonts w:ascii="Georgia" w:hAnsi="Georgia"/>
          <w:color w:val="0F1111"/>
          <w:shd w:val="clear" w:color="auto" w:fill="FFFFFF"/>
        </w:rPr>
        <w:t>an epistemically unified</w:t>
      </w:r>
      <w:r w:rsidRPr="0014144D">
        <w:rPr>
          <w:rFonts w:ascii="Georgia" w:hAnsi="Georgia"/>
          <w:color w:val="0F1111"/>
          <w:shd w:val="clear" w:color="auto" w:fill="FFFFFF"/>
        </w:rPr>
        <w:t xml:space="preserve"> communication strategy for all target communities, in spite of the very different evidential profiles in place, they inflict </w:t>
      </w:r>
      <w:r w:rsidR="003365E0">
        <w:rPr>
          <w:rFonts w:ascii="Georgia" w:hAnsi="Georgia"/>
          <w:color w:val="0F1111"/>
          <w:shd w:val="clear" w:color="auto" w:fill="FFFFFF"/>
        </w:rPr>
        <w:t xml:space="preserve">epistemic exclusion: </w:t>
      </w:r>
      <w:r w:rsidRPr="0014144D">
        <w:rPr>
          <w:rFonts w:ascii="Georgia" w:hAnsi="Georgia"/>
          <w:color w:val="0F1111"/>
          <w:shd w:val="clear" w:color="auto" w:fill="FFFFFF"/>
        </w:rPr>
        <w:t>audiences inhabiting environments known to be populated with heavy defeat</w:t>
      </w:r>
      <w:r w:rsidR="003365E0">
        <w:rPr>
          <w:rFonts w:ascii="Georgia" w:hAnsi="Georgia"/>
          <w:color w:val="0F1111"/>
          <w:shd w:val="clear" w:color="auto" w:fill="FFFFFF"/>
        </w:rPr>
        <w:t xml:space="preserve"> are victims of injustice in their </w:t>
      </w:r>
      <w:r w:rsidR="003365E0">
        <w:rPr>
          <w:rFonts w:ascii="Georgia" w:hAnsi="Georgia"/>
          <w:color w:val="0F1111"/>
          <w:shd w:val="clear" w:color="auto" w:fill="FFFFFF"/>
        </w:rPr>
        <w:t>capacity as knowers</w:t>
      </w:r>
      <w:r w:rsidRPr="0014144D">
        <w:rPr>
          <w:rFonts w:ascii="Georgia" w:hAnsi="Georgia"/>
          <w:color w:val="0F1111"/>
          <w:shd w:val="clear" w:color="auto" w:fill="FFFFFF"/>
        </w:rPr>
        <w:t>, in that</w:t>
      </w:r>
      <w:r w:rsidR="003365E0">
        <w:rPr>
          <w:rFonts w:ascii="Georgia" w:hAnsi="Georgia"/>
          <w:color w:val="0F1111"/>
          <w:shd w:val="clear" w:color="auto" w:fill="FFFFFF"/>
        </w:rPr>
        <w:t xml:space="preserve"> </w:t>
      </w:r>
      <w:r w:rsidRPr="0014144D">
        <w:rPr>
          <w:rFonts w:ascii="Georgia" w:hAnsi="Georgia"/>
          <w:color w:val="0F1111"/>
          <w:shd w:val="clear" w:color="auto" w:fill="FFFFFF"/>
        </w:rPr>
        <w:t>the</w:t>
      </w:r>
      <w:r>
        <w:rPr>
          <w:rFonts w:ascii="Georgia" w:hAnsi="Georgia"/>
          <w:color w:val="0F1111"/>
          <w:shd w:val="clear" w:color="auto" w:fill="FFFFFF"/>
        </w:rPr>
        <w:t>se communities of agents</w:t>
      </w:r>
      <w:r w:rsidRPr="0014144D">
        <w:rPr>
          <w:rFonts w:ascii="Georgia" w:hAnsi="Georgia"/>
          <w:color w:val="0F1111"/>
          <w:shd w:val="clear" w:color="auto" w:fill="FFFFFF"/>
        </w:rPr>
        <w:t xml:space="preserve"> </w:t>
      </w:r>
      <w:r w:rsidR="003365E0">
        <w:rPr>
          <w:rFonts w:ascii="Georgia" w:hAnsi="Georgia"/>
          <w:color w:val="0F1111"/>
          <w:shd w:val="clear" w:color="auto" w:fill="FFFFFF"/>
        </w:rPr>
        <w:t xml:space="preserve">are excluded </w:t>
      </w:r>
      <w:r w:rsidRPr="0014144D">
        <w:rPr>
          <w:rFonts w:ascii="Georgia" w:hAnsi="Georgia"/>
          <w:color w:val="0F1111"/>
          <w:shd w:val="clear" w:color="auto" w:fill="FFFFFF"/>
        </w:rPr>
        <w:t xml:space="preserve">from </w:t>
      </w:r>
      <w:r>
        <w:rPr>
          <w:rFonts w:ascii="Georgia" w:hAnsi="Georgia"/>
          <w:color w:val="0F1111"/>
          <w:shd w:val="clear" w:color="auto" w:fill="FFFFFF"/>
        </w:rPr>
        <w:t xml:space="preserve">partaking in </w:t>
      </w:r>
      <w:r w:rsidRPr="0014144D">
        <w:rPr>
          <w:rFonts w:ascii="Georgia" w:hAnsi="Georgia"/>
          <w:color w:val="0F1111"/>
          <w:shd w:val="clear" w:color="auto" w:fill="FFFFFF"/>
        </w:rPr>
        <w:t>the proper audience of their communication. In this, the duty to be as informative as possible at the context is breached.</w:t>
      </w:r>
    </w:p>
    <w:p w:rsidRPr="0014144D" w:rsidR="001E31BD" w:rsidP="00353926" w:rsidRDefault="001E31BD" w14:paraId="0BD98972" w14:textId="77777777">
      <w:pPr>
        <w:pStyle w:val="Normal1"/>
        <w:ind w:firstLine="720"/>
        <w:jc w:val="both"/>
        <w:rPr>
          <w:rFonts w:ascii="Georgia" w:hAnsi="Georgia"/>
          <w:color w:val="0F1111"/>
          <w:shd w:val="clear" w:color="auto" w:fill="FFFFFF"/>
        </w:rPr>
      </w:pPr>
    </w:p>
    <w:p w:rsidRPr="0014144D" w:rsidR="001E31BD" w:rsidP="00353926" w:rsidRDefault="00F8113D" w14:paraId="7FECF222" w14:textId="4DB1D45C">
      <w:pPr>
        <w:pStyle w:val="Normal1"/>
        <w:jc w:val="both"/>
        <w:rPr>
          <w:rFonts w:ascii="Georgia" w:hAnsi="Georgia"/>
          <w:b/>
          <w:bCs/>
          <w:color w:val="0F1111"/>
          <w:shd w:val="clear" w:color="auto" w:fill="FFFFFF"/>
        </w:rPr>
      </w:pPr>
      <w:r w:rsidRPr="0014144D">
        <w:rPr>
          <w:rFonts w:ascii="Georgia" w:hAnsi="Georgia"/>
          <w:b/>
          <w:bCs/>
          <w:color w:val="0F1111"/>
          <w:shd w:val="clear" w:color="auto" w:fill="FFFFFF"/>
        </w:rPr>
        <w:t xml:space="preserve">5. </w:t>
      </w:r>
      <w:r w:rsidRPr="0014144D" w:rsidR="001E31BD">
        <w:rPr>
          <w:rFonts w:ascii="Georgia" w:hAnsi="Georgia"/>
          <w:b/>
          <w:bCs/>
          <w:color w:val="0F1111"/>
          <w:shd w:val="clear" w:color="auto" w:fill="FFFFFF"/>
        </w:rPr>
        <w:t>Conclusion</w:t>
      </w:r>
    </w:p>
    <w:p w:rsidRPr="0014144D" w:rsidR="001047E6" w:rsidP="00353926" w:rsidRDefault="001047E6" w14:paraId="358546B8" w14:textId="77777777">
      <w:pPr>
        <w:pStyle w:val="Normal1"/>
        <w:jc w:val="both"/>
        <w:rPr>
          <w:rFonts w:ascii="Georgia" w:hAnsi="Georgia"/>
          <w:color w:val="0F1111"/>
          <w:shd w:val="clear" w:color="auto" w:fill="FFFFFF"/>
        </w:rPr>
      </w:pPr>
    </w:p>
    <w:p w:rsidRPr="0014144D" w:rsidR="00F8113D" w:rsidP="6993879A" w:rsidRDefault="00F8113D" w14:paraId="035A1E05" w14:textId="0F24F407">
      <w:pPr>
        <w:pStyle w:val="Normal1"/>
        <w:jc w:val="both"/>
        <w:rPr>
          <w:rFonts w:ascii="Georgia" w:hAnsi="Georgia"/>
          <w:color w:val="0F1111"/>
          <w:shd w:val="clear" w:color="auto" w:fill="FFFFFF"/>
          <w:lang w:val="en-US"/>
        </w:rPr>
      </w:pPr>
      <w:r w:rsidRPr="6993879A">
        <w:rPr>
          <w:rFonts w:ascii="Georgia" w:hAnsi="Georgia"/>
          <w:color w:val="0F1111"/>
          <w:shd w:val="clear" w:color="auto" w:fill="FFFFFF"/>
          <w:lang w:val="en-US"/>
        </w:rPr>
        <w:t xml:space="preserve">We have </w:t>
      </w:r>
      <w:r w:rsidRPr="6993879A" w:rsidR="009B24AF">
        <w:rPr>
          <w:rFonts w:ascii="Georgia" w:hAnsi="Georgia"/>
          <w:color w:val="0F1111"/>
          <w:shd w:val="clear" w:color="auto" w:fill="FFFFFF"/>
          <w:lang w:val="en-US"/>
        </w:rPr>
        <w:t>argued</w:t>
      </w:r>
      <w:r w:rsidRPr="6993879A">
        <w:rPr>
          <w:rFonts w:ascii="Georgia" w:hAnsi="Georgia"/>
          <w:color w:val="0F1111"/>
          <w:shd w:val="clear" w:color="auto" w:fill="FFFFFF"/>
          <w:lang w:val="en-US"/>
        </w:rPr>
        <w:t xml:space="preserve"> that the assumption that recent high-profile cases of distrust in expertise are underlied by epistemic irrationality is too quick: epist</w:t>
      </w:r>
      <w:r w:rsidRPr="6993879A" w:rsidR="00870CF1">
        <w:rPr>
          <w:rFonts w:ascii="Georgia" w:hAnsi="Georgia"/>
          <w:color w:val="0F1111"/>
          <w:shd w:val="clear" w:color="auto" w:fill="FFFFFF"/>
          <w:lang w:val="en-US"/>
        </w:rPr>
        <w:t>e</w:t>
      </w:r>
      <w:r w:rsidRPr="6993879A">
        <w:rPr>
          <w:rFonts w:ascii="Georgia" w:hAnsi="Georgia"/>
          <w:color w:val="0F1111"/>
          <w:shd w:val="clear" w:color="auto" w:fill="FFFFFF"/>
          <w:lang w:val="en-US"/>
        </w:rPr>
        <w:t>mic rationality and irrationality in speech act uptake notably varies with evidential background</w:t>
      </w:r>
      <w:r w:rsidRPr="6993879A" w:rsidR="00227275">
        <w:rPr>
          <w:rFonts w:ascii="Georgia" w:hAnsi="Georgia"/>
          <w:color w:val="0F1111"/>
          <w:shd w:val="clear" w:color="auto" w:fill="FFFFFF"/>
          <w:lang w:val="en-US"/>
        </w:rPr>
        <w:t>.</w:t>
      </w:r>
      <w:r w:rsidRPr="6993879A">
        <w:rPr>
          <w:rFonts w:ascii="Georgia" w:hAnsi="Georgia"/>
          <w:color w:val="0F1111"/>
          <w:shd w:val="clear" w:color="auto" w:fill="FFFFFF"/>
          <w:lang w:val="en-US"/>
        </w:rPr>
        <w:t xml:space="preserve"> </w:t>
      </w:r>
      <w:r w:rsidRPr="6993879A" w:rsidR="00227275">
        <w:rPr>
          <w:rFonts w:ascii="Georgia" w:hAnsi="Georgia"/>
          <w:color w:val="0F1111"/>
          <w:shd w:val="clear" w:color="auto" w:fill="FFFFFF"/>
          <w:lang w:val="en-US"/>
        </w:rPr>
        <w:t>W</w:t>
      </w:r>
      <w:r w:rsidRPr="6993879A">
        <w:rPr>
          <w:rFonts w:ascii="Georgia" w:hAnsi="Georgia"/>
          <w:color w:val="0F1111"/>
          <w:shd w:val="clear" w:color="auto" w:fill="FFFFFF"/>
          <w:lang w:val="en-US"/>
        </w:rPr>
        <w:t xml:space="preserve">hether it is rational or irrational for one to belive what one is told depends on one’s other evidence having to do with both the asserted content, and the reliability of the source of testimony. Straighforwardly, audiences who have undercutting defeaters to expert testimony are rational to reject said testimony. In turn, in cases in which the audience is entitled to recieve the testimony in question, and the speaker has an obligation to ensure its availability to the audience, </w:t>
      </w:r>
      <w:r w:rsidRPr="6993879A">
        <w:rPr>
          <w:rFonts w:ascii="Georgia" w:hAnsi="Georgia"/>
          <w:i w:val="1"/>
          <w:iCs w:val="1"/>
          <w:color w:val="0F1111"/>
          <w:shd w:val="clear" w:color="auto" w:fill="FFFFFF"/>
          <w:lang w:val="en-US"/>
        </w:rPr>
        <w:t>mutatis mutadis</w:t>
      </w:r>
      <w:r w:rsidRPr="6993879A">
        <w:rPr>
          <w:rFonts w:ascii="Georgia" w:hAnsi="Georgia"/>
          <w:color w:val="0F1111"/>
          <w:shd w:val="clear" w:color="auto" w:fill="FFFFFF"/>
          <w:lang w:val="en-US"/>
        </w:rPr>
        <w:t>, the speaker shoulders an obligation to provide defeater defeaters – on pain of unjustly epistemically excluding hearers from the proper audienece of the testified content.</w:t>
      </w:r>
    </w:p>
    <w:p w:rsidRPr="0014144D" w:rsidR="001047E6" w:rsidP="00353926" w:rsidRDefault="001047E6" w14:paraId="1D8C391C" w14:textId="77777777">
      <w:pPr>
        <w:pStyle w:val="Normal1"/>
        <w:jc w:val="both"/>
        <w:rPr>
          <w:rFonts w:ascii="Georgia" w:hAnsi="Georgia"/>
          <w:color w:val="0F1111"/>
          <w:shd w:val="clear" w:color="auto" w:fill="FFFFFF"/>
        </w:rPr>
      </w:pPr>
    </w:p>
    <w:p w:rsidRPr="0014144D" w:rsidR="004A1987" w:rsidP="00353926" w:rsidRDefault="004A1987" w14:paraId="227556DF" w14:textId="77777777">
      <w:pPr>
        <w:pStyle w:val="Normal1"/>
        <w:jc w:val="both"/>
        <w:rPr>
          <w:rFonts w:ascii="Georgia" w:hAnsi="Georgia"/>
          <w:color w:val="0F1111"/>
          <w:shd w:val="clear" w:color="auto" w:fill="FFFFFF"/>
        </w:rPr>
      </w:pPr>
    </w:p>
    <w:p w:rsidRPr="00BE64D6" w:rsidR="00ED51F0" w:rsidP="00353926" w:rsidRDefault="004A1987" w14:paraId="53CE7D5D" w14:textId="0E508778">
      <w:pPr>
        <w:pStyle w:val="Normal1"/>
        <w:jc w:val="both"/>
        <w:rPr>
          <w:rFonts w:ascii="Georgia" w:hAnsi="Georgia"/>
          <w:b/>
          <w:bCs/>
          <w:color w:val="000000" w:themeColor="text1"/>
          <w:shd w:val="clear" w:color="auto" w:fill="FFFFFF"/>
        </w:rPr>
      </w:pPr>
      <w:r w:rsidRPr="0014144D">
        <w:rPr>
          <w:rFonts w:ascii="Georgia" w:hAnsi="Georgia"/>
          <w:b/>
          <w:bCs/>
          <w:color w:val="000000" w:themeColor="text1"/>
          <w:shd w:val="clear" w:color="auto" w:fill="FFFFFF"/>
        </w:rPr>
        <w:t>Ref</w:t>
      </w:r>
      <w:r w:rsidRPr="0014144D" w:rsidR="001047E6">
        <w:rPr>
          <w:rFonts w:ascii="Georgia" w:hAnsi="Georgia"/>
          <w:b/>
          <w:bCs/>
          <w:color w:val="000000" w:themeColor="text1"/>
          <w:shd w:val="clear" w:color="auto" w:fill="FFFFFF"/>
        </w:rPr>
        <w:t>erences</w:t>
      </w:r>
    </w:p>
    <w:p w:rsidRPr="0014144D" w:rsidR="00ED51F0" w:rsidP="00353926" w:rsidRDefault="00ED51F0" w14:paraId="72E4F5DA" w14:textId="77777777">
      <w:pPr>
        <w:widowControl w:val="0"/>
        <w:autoSpaceDE w:val="0"/>
        <w:autoSpaceDN w:val="0"/>
        <w:adjustRightInd w:val="0"/>
        <w:jc w:val="both"/>
        <w:rPr>
          <w:rFonts w:ascii="Georgia" w:hAnsi="Georgia"/>
          <w:lang w:val="en-GB"/>
        </w:rPr>
      </w:pPr>
    </w:p>
    <w:p w:rsidR="00ED51F0" w:rsidP="6993879A" w:rsidRDefault="00F7336C" w14:paraId="1BC20FEA" w14:textId="1AF9681C">
      <w:pPr>
        <w:pStyle w:val="Normal1"/>
        <w:jc w:val="both"/>
        <w:rPr>
          <w:rFonts w:ascii="Georgia" w:hAnsi="Georgia" w:eastAsia="Garamond" w:cs="Garamond"/>
          <w:color w:val="000000" w:themeColor="text1"/>
          <w:lang w:val="en-US"/>
        </w:rPr>
      </w:pPr>
      <w:r w:rsidRPr="6993879A" w:rsidR="6993879A">
        <w:rPr>
          <w:rFonts w:ascii="Georgia" w:hAnsi="Georgia" w:eastAsia="Garamond" w:cs="Garamond"/>
          <w:color w:val="000000" w:themeColor="text1" w:themeTint="FF" w:themeShade="FF"/>
          <w:lang w:val="en-US"/>
        </w:rPr>
        <w:t>Adekola, J. , Audu, J. G., Okey-Adibe, T. </w:t>
      </w:r>
      <w:r w:rsidRPr="6993879A" w:rsidR="6993879A">
        <w:rPr>
          <w:rFonts w:ascii="Georgia" w:hAnsi="Georgia" w:eastAsia="Garamond" w:cs="Garamond"/>
          <w:color w:val="000000" w:themeColor="text1" w:themeTint="FF" w:themeShade="FF"/>
          <w:lang w:val="en-US"/>
        </w:rPr>
        <w:t>A</w:t>
      </w:r>
      <w:r w:rsidRPr="6993879A" w:rsidR="6993879A">
        <w:rPr>
          <w:rFonts w:ascii="Georgia" w:hAnsi="Georgia" w:eastAsia="Garamond" w:cs="Garamond"/>
          <w:color w:val="000000" w:themeColor="text1" w:themeTint="FF" w:themeShade="FF"/>
          <w:lang w:val="en-US"/>
        </w:rPr>
        <w:t>nd</w:t>
      </w:r>
      <w:r w:rsidRPr="6993879A" w:rsidR="6993879A">
        <w:rPr>
          <w:rFonts w:ascii="Georgia" w:hAnsi="Georgia" w:eastAsia="Garamond" w:cs="Garamond"/>
          <w:color w:val="000000" w:themeColor="text1" w:themeTint="FF" w:themeShade="FF"/>
          <w:lang w:val="en-US"/>
        </w:rPr>
        <w:t xml:space="preserve"> Abubakar, A. (2022). </w:t>
      </w:r>
      <w:r w:rsidRPr="6993879A" w:rsidR="6993879A">
        <w:rPr>
          <w:rFonts w:ascii="Georgia" w:hAnsi="Georgia" w:eastAsia="Garamond" w:cs="Garamond"/>
          <w:color w:val="000000" w:themeColor="text1" w:themeTint="FF" w:themeShade="FF"/>
          <w:lang w:val="en-US"/>
        </w:rPr>
        <w:t>COVID-19 Vaccine Experience and Hesitancy Within African, Caribbean, and Black (ACB) Communities In Scotland. Project Report. BEMIS.</w:t>
      </w:r>
    </w:p>
    <w:p w:rsidR="0039776D" w:rsidP="00353926" w:rsidRDefault="0039776D" w14:paraId="0617B4C6" w14:textId="239D2382">
      <w:pPr>
        <w:pStyle w:val="Normal1"/>
        <w:jc w:val="both"/>
        <w:rPr>
          <w:rFonts w:ascii="Georgia" w:hAnsi="Georgia" w:eastAsia="Garamond" w:cs="Garamond"/>
          <w:color w:val="000000" w:themeColor="text1"/>
          <w:lang w:val="en-GB"/>
        </w:rPr>
      </w:pPr>
      <w:r>
        <w:rPr>
          <w:rFonts w:ascii="Georgia" w:hAnsi="Georgia" w:eastAsia="Garamond" w:cs="Garamond"/>
          <w:color w:val="000000" w:themeColor="text1"/>
        </w:rPr>
        <w:t>Adekola, J. (</w:t>
      </w:r>
      <w:r w:rsidRPr="0039776D">
        <w:rPr>
          <w:rFonts w:ascii="Georgia" w:hAnsi="Georgia" w:eastAsia="Garamond" w:cs="Garamond"/>
          <w:color w:val="000000" w:themeColor="text1"/>
          <w:lang w:val="en-GB"/>
        </w:rPr>
        <w:t>2022</w:t>
      </w:r>
      <w:r>
        <w:rPr>
          <w:rFonts w:ascii="Georgia" w:hAnsi="Georgia" w:eastAsia="Garamond" w:cs="Garamond"/>
          <w:color w:val="000000" w:themeColor="text1"/>
          <w:lang w:val="en-GB"/>
        </w:rPr>
        <w:t>)</w:t>
      </w:r>
      <w:r w:rsidRPr="0039776D">
        <w:rPr>
          <w:rFonts w:ascii="Georgia" w:hAnsi="Georgia" w:eastAsia="Garamond" w:cs="Garamond"/>
          <w:color w:val="000000" w:themeColor="text1"/>
          <w:lang w:val="en-GB"/>
        </w:rPr>
        <w:t xml:space="preserve"> ‘Scotland, African Voices: The COVID-19 Vaccine Debate’. Documentary film</w:t>
      </w:r>
      <w:r>
        <w:rPr>
          <w:rFonts w:ascii="Georgia" w:hAnsi="Georgia" w:eastAsia="Garamond" w:cs="Garamond"/>
          <w:color w:val="000000" w:themeColor="text1"/>
          <w:lang w:val="en-GB"/>
        </w:rPr>
        <w:t xml:space="preserve">, </w:t>
      </w:r>
      <w:r w:rsidRPr="0039776D">
        <w:rPr>
          <w:rFonts w:ascii="Georgia" w:hAnsi="Georgia" w:eastAsia="Garamond" w:cs="Garamond"/>
          <w:color w:val="000000" w:themeColor="text1"/>
          <w:lang w:val="en-GB"/>
        </w:rPr>
        <w:t>available on YouTube: </w:t>
      </w:r>
      <w:hyperlink w:history="1" r:id="rId7">
        <w:r w:rsidRPr="0039776D">
          <w:rPr>
            <w:rStyle w:val="Hyperlink"/>
            <w:rFonts w:ascii="Georgia" w:hAnsi="Georgia" w:eastAsia="Garamond" w:cs="Garamond"/>
            <w:lang w:val="en-GB"/>
          </w:rPr>
          <w:t>Scotland African Voices: COVID-19 Vaccine Debate</w:t>
        </w:r>
      </w:hyperlink>
      <w:r>
        <w:rPr>
          <w:rFonts w:ascii="Georgia" w:hAnsi="Georgia" w:eastAsia="Garamond" w:cs="Garamond"/>
          <w:color w:val="000000" w:themeColor="text1"/>
          <w:lang w:val="en-GB"/>
        </w:rPr>
        <w:t xml:space="preserve">, </w:t>
      </w:r>
      <w:r w:rsidRPr="0039776D">
        <w:rPr>
          <w:rFonts w:ascii="Georgia" w:hAnsi="Georgia" w:eastAsia="Garamond" w:cs="Garamond"/>
          <w:color w:val="000000" w:themeColor="text1"/>
          <w:lang w:val="en-GB"/>
        </w:rPr>
        <w:t>trailer on YouTube: </w:t>
      </w:r>
      <w:hyperlink w:history="1" r:id="rId8">
        <w:r w:rsidRPr="0039776D">
          <w:rPr>
            <w:rStyle w:val="Hyperlink"/>
            <w:rFonts w:ascii="Georgia" w:hAnsi="Georgia" w:eastAsia="Garamond" w:cs="Garamond"/>
            <w:lang w:val="en-GB"/>
          </w:rPr>
          <w:t>Film Premiere of Scotland African Voices: COVID-19 Vaccine Debate</w:t>
        </w:r>
      </w:hyperlink>
      <w:r>
        <w:rPr>
          <w:rFonts w:ascii="Georgia" w:hAnsi="Georgia" w:eastAsia="Garamond" w:cs="Garamond"/>
          <w:color w:val="000000" w:themeColor="text1"/>
          <w:lang w:val="en-GB"/>
        </w:rPr>
        <w:t xml:space="preserve">. </w:t>
      </w:r>
      <w:r w:rsidRPr="0039776D">
        <w:rPr>
          <w:rFonts w:ascii="Georgia" w:hAnsi="Georgia" w:eastAsia="Garamond" w:cs="Garamond"/>
          <w:color w:val="000000" w:themeColor="text1"/>
          <w:lang w:val="en-GB"/>
        </w:rPr>
        <w:t xml:space="preserve">Partners: Sarah Gilbert and the Vaccine Knowledge Group (University of Oxford), Emma Thompson (the MRC Centre for Virus Research), Mona Simion (Cogito Epistemology Research </w:t>
      </w:r>
      <w:proofErr w:type="spellStart"/>
      <w:r w:rsidRPr="0039776D">
        <w:rPr>
          <w:rFonts w:ascii="Georgia" w:hAnsi="Georgia" w:eastAsia="Garamond" w:cs="Garamond"/>
          <w:color w:val="000000" w:themeColor="text1"/>
          <w:lang w:val="en-GB"/>
        </w:rPr>
        <w:t>Center</w:t>
      </w:r>
      <w:proofErr w:type="spellEnd"/>
      <w:r w:rsidRPr="0039776D">
        <w:rPr>
          <w:rFonts w:ascii="Georgia" w:hAnsi="Georgia" w:eastAsia="Garamond" w:cs="Garamond"/>
          <w:color w:val="000000" w:themeColor="text1"/>
          <w:lang w:val="en-GB"/>
        </w:rPr>
        <w:t xml:space="preserve">), </w:t>
      </w:r>
      <w:proofErr w:type="spellStart"/>
      <w:r w:rsidRPr="0039776D">
        <w:rPr>
          <w:rFonts w:ascii="Georgia" w:hAnsi="Georgia" w:eastAsia="Garamond" w:cs="Garamond"/>
          <w:color w:val="000000" w:themeColor="text1"/>
          <w:lang w:val="en-GB"/>
        </w:rPr>
        <w:t>Deji</w:t>
      </w:r>
      <w:proofErr w:type="spellEnd"/>
      <w:r w:rsidRPr="0039776D">
        <w:rPr>
          <w:rFonts w:ascii="Georgia" w:hAnsi="Georgia" w:eastAsia="Garamond" w:cs="Garamond"/>
          <w:color w:val="000000" w:themeColor="text1"/>
          <w:lang w:val="en-GB"/>
        </w:rPr>
        <w:t xml:space="preserve"> </w:t>
      </w:r>
      <w:proofErr w:type="spellStart"/>
      <w:r w:rsidRPr="0039776D">
        <w:rPr>
          <w:rFonts w:ascii="Georgia" w:hAnsi="Georgia" w:eastAsia="Garamond" w:cs="Garamond"/>
          <w:color w:val="000000" w:themeColor="text1"/>
          <w:lang w:val="en-GB"/>
        </w:rPr>
        <w:t>Bolarinwa</w:t>
      </w:r>
      <w:proofErr w:type="spellEnd"/>
      <w:r w:rsidRPr="0039776D">
        <w:rPr>
          <w:rFonts w:ascii="Georgia" w:hAnsi="Georgia" w:eastAsia="Garamond" w:cs="Garamond"/>
          <w:color w:val="000000" w:themeColor="text1"/>
          <w:lang w:val="en-GB"/>
        </w:rPr>
        <w:t xml:space="preserve"> (University of Ilorin, Nigeria), Duncan Pritchard (the University of California Irvine), Ilan Kelman (University College London, Institute for Risk and Disaster Reduction), Jason Leitch (National Clinical Director, the Scottish Government), Claire Cameron (Public Health Scotland), Pastor Yinka and </w:t>
      </w:r>
      <w:proofErr w:type="spellStart"/>
      <w:r w:rsidRPr="0039776D">
        <w:rPr>
          <w:rFonts w:ascii="Georgia" w:hAnsi="Georgia" w:eastAsia="Garamond" w:cs="Garamond"/>
          <w:color w:val="000000" w:themeColor="text1"/>
          <w:lang w:val="en-GB"/>
        </w:rPr>
        <w:t>Adefolake</w:t>
      </w:r>
      <w:proofErr w:type="spellEnd"/>
      <w:r w:rsidRPr="0039776D">
        <w:rPr>
          <w:rFonts w:ascii="Georgia" w:hAnsi="Georgia" w:eastAsia="Garamond" w:cs="Garamond"/>
          <w:color w:val="000000" w:themeColor="text1"/>
          <w:lang w:val="en-GB"/>
        </w:rPr>
        <w:t xml:space="preserve"> Adesina (Fountain of Living Water, RCCG, Ayr), </w:t>
      </w:r>
      <w:proofErr w:type="spellStart"/>
      <w:r w:rsidRPr="0039776D">
        <w:rPr>
          <w:rFonts w:ascii="Georgia" w:hAnsi="Georgia" w:eastAsia="Garamond" w:cs="Garamond"/>
          <w:color w:val="000000" w:themeColor="text1"/>
          <w:lang w:val="en-GB"/>
        </w:rPr>
        <w:t>pRESPECT</w:t>
      </w:r>
      <w:proofErr w:type="spellEnd"/>
      <w:r w:rsidRPr="0039776D">
        <w:rPr>
          <w:rFonts w:ascii="Georgia" w:hAnsi="Georgia" w:eastAsia="Garamond" w:cs="Garamond"/>
          <w:color w:val="000000" w:themeColor="text1"/>
          <w:lang w:val="en-GB"/>
        </w:rPr>
        <w:t xml:space="preserve"> Hub Edinburgh, Sharpen Her: the African Women's Network (SHAWM), Glasgow Black and Scot, Aberdeen Jezreel Consultancy.</w:t>
      </w:r>
    </w:p>
    <w:p w:rsidRPr="0039776D" w:rsidR="00292D78" w:rsidP="00353926" w:rsidRDefault="00292D78" w14:paraId="683F00E4" w14:textId="50D4C4D1">
      <w:pPr>
        <w:pStyle w:val="Normal1"/>
        <w:jc w:val="both"/>
        <w:rPr>
          <w:rFonts w:ascii="Georgia" w:hAnsi="Georgia" w:eastAsia="Garamond" w:cs="Garamond"/>
          <w:color w:val="000000" w:themeColor="text1"/>
          <w:lang w:val="en-GB"/>
        </w:rPr>
      </w:pPr>
      <w:r w:rsidRPr="00292D78">
        <w:rPr>
          <w:rFonts w:ascii="Georgia" w:hAnsi="Georgia" w:eastAsia="Garamond" w:cs="Garamond"/>
          <w:color w:val="000000" w:themeColor="text1"/>
        </w:rPr>
        <w:t xml:space="preserve">Adekola, J. </w:t>
      </w:r>
      <w:r>
        <w:rPr>
          <w:rFonts w:ascii="Georgia" w:hAnsi="Georgia" w:eastAsia="Garamond" w:cs="Garamond"/>
          <w:color w:val="000000" w:themeColor="text1"/>
        </w:rPr>
        <w:t xml:space="preserve">(2024). </w:t>
      </w:r>
      <w:r w:rsidRPr="00292D78">
        <w:rPr>
          <w:rFonts w:ascii="Georgia" w:hAnsi="Georgia" w:eastAsia="Garamond" w:cs="Garamond"/>
          <w:color w:val="000000" w:themeColor="text1"/>
        </w:rPr>
        <w:t>Understanding Risk Communication Through a Postcolonial Theory Perspective: Lessons from Three Studies on COVID-19 Vaccine Hesitancy. </w:t>
      </w:r>
      <w:r w:rsidRPr="00292D78">
        <w:rPr>
          <w:rFonts w:ascii="Georgia" w:hAnsi="Georgia" w:eastAsia="Garamond" w:cs="Garamond"/>
          <w:i/>
          <w:iCs/>
          <w:color w:val="000000" w:themeColor="text1"/>
        </w:rPr>
        <w:t>Int J Disaster Risk Sci</w:t>
      </w:r>
      <w:r w:rsidRPr="00292D78">
        <w:rPr>
          <w:rFonts w:ascii="Georgia" w:hAnsi="Georgia" w:eastAsia="Garamond" w:cs="Garamond"/>
          <w:color w:val="000000" w:themeColor="text1"/>
        </w:rPr>
        <w:t> (2024). https://doi.org/10.1007/s13753-024-00598-y</w:t>
      </w:r>
    </w:p>
    <w:p w:rsidRPr="0014144D" w:rsidR="00ED51F0" w:rsidP="00353926" w:rsidRDefault="00ED51F0" w14:paraId="529FD5DB" w14:textId="77DA2872">
      <w:pPr>
        <w:jc w:val="both"/>
        <w:rPr>
          <w:rFonts w:ascii="Georgia" w:hAnsi="Georgia"/>
        </w:rPr>
      </w:pPr>
      <w:r w:rsidRPr="0014144D">
        <w:rPr>
          <w:rFonts w:ascii="Georgia" w:hAnsi="Georgia"/>
        </w:rPr>
        <w:t xml:space="preserve">Ancell, A. (2019). The fact of unreasonable pluralism. </w:t>
      </w:r>
      <w:r w:rsidRPr="0014144D">
        <w:rPr>
          <w:rFonts w:ascii="Georgia" w:hAnsi="Georgia"/>
          <w:i/>
          <w:iCs/>
        </w:rPr>
        <w:t>Journal of the American Philosophical Association</w:t>
      </w:r>
      <w:r w:rsidRPr="0014144D">
        <w:rPr>
          <w:rFonts w:ascii="Georgia" w:hAnsi="Georgia"/>
        </w:rPr>
        <w:t xml:space="preserve"> 5(4):  410-428.</w:t>
      </w:r>
    </w:p>
    <w:p w:rsidRPr="0014144D" w:rsidR="001047E6" w:rsidP="00353926" w:rsidRDefault="001047E6" w14:paraId="44440C33" w14:textId="71805ED9">
      <w:pPr>
        <w:pStyle w:val="Normal1"/>
        <w:jc w:val="both"/>
        <w:rPr>
          <w:rFonts w:ascii="Georgia" w:hAnsi="Georgia" w:eastAsia="Garamond" w:cs="Garamond"/>
          <w:color w:val="000000" w:themeColor="text1"/>
        </w:rPr>
      </w:pPr>
      <w:r w:rsidRPr="0014144D">
        <w:rPr>
          <w:rFonts w:ascii="Georgia" w:hAnsi="Georgia" w:eastAsia="Garamond" w:cs="Garamond"/>
          <w:color w:val="000000" w:themeColor="text1"/>
        </w:rPr>
        <w:t>Brandt, A.M.</w:t>
      </w:r>
      <w:r w:rsidRPr="0014144D" w:rsidR="00C71CD2">
        <w:rPr>
          <w:rFonts w:ascii="Georgia" w:hAnsi="Georgia" w:eastAsia="Garamond" w:cs="Garamond"/>
          <w:color w:val="000000" w:themeColor="text1"/>
        </w:rPr>
        <w:t xml:space="preserve"> (</w:t>
      </w:r>
      <w:r w:rsidRPr="0014144D">
        <w:rPr>
          <w:rFonts w:ascii="Georgia" w:hAnsi="Georgia" w:eastAsia="Garamond" w:cs="Garamond"/>
          <w:color w:val="000000" w:themeColor="text1"/>
        </w:rPr>
        <w:t>1978</w:t>
      </w:r>
      <w:r w:rsidRPr="0014144D" w:rsidR="00C71CD2">
        <w:rPr>
          <w:rFonts w:ascii="Georgia" w:hAnsi="Georgia" w:eastAsia="Garamond" w:cs="Garamond"/>
          <w:color w:val="000000" w:themeColor="text1"/>
        </w:rPr>
        <w:t>)</w:t>
      </w:r>
      <w:r w:rsidRPr="0014144D">
        <w:rPr>
          <w:rFonts w:ascii="Georgia" w:hAnsi="Georgia" w:eastAsia="Garamond" w:cs="Garamond"/>
          <w:color w:val="000000" w:themeColor="text1"/>
        </w:rPr>
        <w:t>. Racism and research: the case of the Tuskegee Syphilis Study. </w:t>
      </w:r>
      <w:r w:rsidRPr="0014144D">
        <w:rPr>
          <w:rFonts w:ascii="Georgia" w:hAnsi="Georgia" w:eastAsia="Garamond" w:cs="Garamond"/>
          <w:i/>
          <w:iCs/>
          <w:color w:val="000000" w:themeColor="text1"/>
        </w:rPr>
        <w:t>Hastings center report</w:t>
      </w:r>
      <w:r w:rsidRPr="0014144D">
        <w:rPr>
          <w:rFonts w:ascii="Georgia" w:hAnsi="Georgia" w:eastAsia="Garamond" w:cs="Garamond"/>
          <w:color w:val="000000" w:themeColor="text1"/>
        </w:rPr>
        <w:t>, pp.21-29.</w:t>
      </w:r>
    </w:p>
    <w:p w:rsidRPr="0014144D" w:rsidR="00ED51F0" w:rsidP="00353926" w:rsidRDefault="00ED51F0" w14:paraId="777EE0CD" w14:textId="1110EB4E">
      <w:pPr>
        <w:jc w:val="both"/>
        <w:rPr>
          <w:rFonts w:ascii="Georgia" w:hAnsi="Georgia"/>
        </w:rPr>
      </w:pPr>
      <w:r w:rsidRPr="0014144D">
        <w:rPr>
          <w:rFonts w:ascii="Georgia" w:hAnsi="Georgia"/>
        </w:rPr>
        <w:t xml:space="preserve">Carter, J. Adam, and Robin McKenna (2020). Skepticism motivated: On the skeptical import of motivated reasoning. </w:t>
      </w:r>
      <w:r w:rsidRPr="0014144D">
        <w:rPr>
          <w:rFonts w:ascii="Georgia" w:hAnsi="Georgia"/>
          <w:i/>
          <w:iCs/>
        </w:rPr>
        <w:t>Canadian Journal of Philosophy</w:t>
      </w:r>
      <w:r w:rsidRPr="0014144D">
        <w:rPr>
          <w:rFonts w:ascii="Georgia" w:hAnsi="Georgia"/>
        </w:rPr>
        <w:t xml:space="preserve"> 50(6), 702-718.</w:t>
      </w:r>
    </w:p>
    <w:p w:rsidR="00D80C1B" w:rsidP="00353926" w:rsidRDefault="00ED51F0" w14:paraId="165C142F" w14:textId="77777777">
      <w:pPr>
        <w:jc w:val="both"/>
        <w:rPr>
          <w:rFonts w:ascii="Georgia" w:hAnsi="Georgia"/>
          <w:lang w:val="en-GB"/>
        </w:rPr>
      </w:pPr>
      <w:r w:rsidRPr="0014144D">
        <w:rPr>
          <w:rFonts w:ascii="Georgia" w:hAnsi="Georgia"/>
          <w:lang w:val="en-US"/>
        </w:rPr>
        <w:t xml:space="preserve">Constantin, J. &amp; Grundmann, T. (2020). Epistemic Authority: Preemption Through Source Sensitive </w:t>
      </w:r>
      <w:proofErr w:type="gramStart"/>
      <w:r w:rsidRPr="0014144D">
        <w:rPr>
          <w:rFonts w:ascii="Georgia" w:hAnsi="Georgia"/>
          <w:lang w:val="en-US"/>
        </w:rPr>
        <w:t xml:space="preserve">Defeat,  </w:t>
      </w:r>
      <w:proofErr w:type="spellStart"/>
      <w:r w:rsidRPr="0014144D">
        <w:rPr>
          <w:rFonts w:ascii="Georgia" w:hAnsi="Georgia"/>
          <w:i/>
          <w:iCs/>
          <w:lang w:val="en-US"/>
        </w:rPr>
        <w:t>Synthese</w:t>
      </w:r>
      <w:proofErr w:type="spellEnd"/>
      <w:proofErr w:type="gramEnd"/>
      <w:r w:rsidRPr="0014144D">
        <w:rPr>
          <w:rFonts w:ascii="Georgia" w:hAnsi="Georgia"/>
          <w:i/>
          <w:iCs/>
          <w:lang w:val="en-US"/>
        </w:rPr>
        <w:t>.</w:t>
      </w:r>
      <w:r w:rsidRPr="0014144D">
        <w:rPr>
          <w:rFonts w:ascii="Georgia" w:hAnsi="Georgia"/>
          <w:lang w:val="en-US"/>
        </w:rPr>
        <w:t xml:space="preserve"> </w:t>
      </w:r>
      <w:r w:rsidRPr="0014144D">
        <w:rPr>
          <w:rFonts w:ascii="Georgia" w:hAnsi="Georgia"/>
          <w:lang w:val="en-GB"/>
        </w:rPr>
        <w:t>Vol 197, Issue 9, p4109</w:t>
      </w:r>
    </w:p>
    <w:p w:rsidRPr="00D80C1B" w:rsidR="00D80C1B" w:rsidP="00353926" w:rsidRDefault="00D80C1B" w14:paraId="28AFEE47" w14:textId="79B45634">
      <w:pPr>
        <w:jc w:val="both"/>
        <w:rPr>
          <w:rFonts w:ascii="Georgia" w:hAnsi="Georgia"/>
          <w:lang w:val="en-GB"/>
        </w:rPr>
      </w:pPr>
      <w:r w:rsidRPr="00D80C1B">
        <w:rPr>
          <w:rFonts w:ascii="Georgia" w:hAnsi="Georgia"/>
          <w:lang w:val="en-GB"/>
        </w:rPr>
        <w:t xml:space="preserve">Ecker, U. K. H., Lewandowsky, S., Cook, J., Schmid, P., Fazio, L. K., Brashier, N., </w:t>
      </w:r>
      <w:proofErr w:type="spellStart"/>
      <w:r w:rsidRPr="00D80C1B">
        <w:rPr>
          <w:rFonts w:ascii="Georgia" w:hAnsi="Georgia"/>
          <w:lang w:val="en-GB"/>
        </w:rPr>
        <w:t>Kendeou</w:t>
      </w:r>
      <w:proofErr w:type="spellEnd"/>
      <w:r w:rsidRPr="00D80C1B">
        <w:rPr>
          <w:rFonts w:ascii="Georgia" w:hAnsi="Georgia"/>
          <w:lang w:val="en-GB"/>
        </w:rPr>
        <w:t xml:space="preserve">, P., </w:t>
      </w:r>
      <w:proofErr w:type="spellStart"/>
      <w:r w:rsidRPr="00D80C1B">
        <w:rPr>
          <w:rFonts w:ascii="Georgia" w:hAnsi="Georgia"/>
          <w:lang w:val="en-GB"/>
        </w:rPr>
        <w:t>Vraga</w:t>
      </w:r>
      <w:proofErr w:type="spellEnd"/>
      <w:r w:rsidRPr="00D80C1B">
        <w:rPr>
          <w:rFonts w:ascii="Georgia" w:hAnsi="Georgia"/>
          <w:lang w:val="en-GB"/>
        </w:rPr>
        <w:t xml:space="preserve">, E. K., &amp; </w:t>
      </w:r>
      <w:proofErr w:type="spellStart"/>
      <w:r w:rsidRPr="00D80C1B">
        <w:rPr>
          <w:rFonts w:ascii="Georgia" w:hAnsi="Georgia"/>
          <w:lang w:val="en-GB"/>
        </w:rPr>
        <w:t>Amazeen</w:t>
      </w:r>
      <w:proofErr w:type="spellEnd"/>
      <w:r w:rsidRPr="00D80C1B">
        <w:rPr>
          <w:rFonts w:ascii="Georgia" w:hAnsi="Georgia"/>
          <w:lang w:val="en-GB"/>
        </w:rPr>
        <w:t xml:space="preserve">, M. A. (2022). The psychological drivers of misinformation belief and </w:t>
      </w:r>
      <w:r w:rsidRPr="00D80C1B">
        <w:rPr>
          <w:rFonts w:ascii="Georgia" w:hAnsi="Georgia"/>
          <w:lang w:val="en-GB"/>
        </w:rPr>
        <w:t>its resistance to correction. </w:t>
      </w:r>
      <w:r w:rsidRPr="00D80C1B">
        <w:rPr>
          <w:rFonts w:ascii="Georgia" w:hAnsi="Georgia"/>
          <w:i/>
          <w:iCs/>
          <w:lang w:val="en-GB"/>
        </w:rPr>
        <w:t>Nature Reviews Psychology</w:t>
      </w:r>
      <w:r w:rsidRPr="00D80C1B">
        <w:rPr>
          <w:rFonts w:ascii="Georgia" w:hAnsi="Georgia"/>
          <w:lang w:val="en-GB"/>
        </w:rPr>
        <w:t>, 1, 13-29. </w:t>
      </w:r>
      <w:hyperlink w:tgtFrame="_blank" w:history="1" r:id="rId9">
        <w:r w:rsidRPr="00D80C1B">
          <w:rPr>
            <w:rStyle w:val="Hyperlink"/>
            <w:rFonts w:ascii="Georgia" w:hAnsi="Georgia"/>
            <w:lang w:val="en-GB"/>
          </w:rPr>
          <w:t>https://doi.org/10.1038/s44159-021-00006-y</w:t>
        </w:r>
      </w:hyperlink>
    </w:p>
    <w:p w:rsidRPr="0014144D" w:rsidR="00ED51F0" w:rsidP="00353926" w:rsidRDefault="00ED51F0" w14:paraId="0B469E08" w14:textId="5052B260">
      <w:pPr>
        <w:jc w:val="both"/>
        <w:rPr>
          <w:rFonts w:ascii="Georgia" w:hAnsi="Georgia"/>
          <w:lang w:val="en-US"/>
        </w:rPr>
      </w:pPr>
      <w:r w:rsidRPr="0014144D">
        <w:rPr>
          <w:rFonts w:ascii="Georgia" w:hAnsi="Georgia"/>
          <w:lang w:val="en-US"/>
        </w:rPr>
        <w:t xml:space="preserve">Fricker, E. </w:t>
      </w:r>
      <w:r w:rsidRPr="0014144D" w:rsidR="008F351F">
        <w:rPr>
          <w:rFonts w:ascii="Georgia" w:hAnsi="Georgia"/>
          <w:lang w:val="en-US"/>
        </w:rPr>
        <w:t>(</w:t>
      </w:r>
      <w:r w:rsidRPr="0014144D">
        <w:rPr>
          <w:rFonts w:ascii="Georgia" w:hAnsi="Georgia"/>
          <w:lang w:val="en-US"/>
        </w:rPr>
        <w:t>2006</w:t>
      </w:r>
      <w:r w:rsidRPr="0014144D" w:rsidR="008F351F">
        <w:rPr>
          <w:rFonts w:ascii="Georgia" w:hAnsi="Georgia"/>
          <w:lang w:val="en-US"/>
        </w:rPr>
        <w:t xml:space="preserve">). </w:t>
      </w:r>
      <w:r w:rsidRPr="0014144D">
        <w:rPr>
          <w:rFonts w:ascii="Georgia" w:hAnsi="Georgia"/>
          <w:lang w:val="en-US"/>
        </w:rPr>
        <w:t>Testimony and Epistemic Authority, in: J. Lackey &amp; E. Sosa (eds.), The Epistemology of Testimony, OUP: 225-250.</w:t>
      </w:r>
    </w:p>
    <w:p w:rsidRPr="0014144D" w:rsidR="008F351F" w:rsidP="00353926" w:rsidRDefault="008F351F" w14:paraId="7280419D" w14:textId="1601B6E4">
      <w:pPr>
        <w:jc w:val="both"/>
        <w:rPr>
          <w:rFonts w:ascii="Georgia" w:hAnsi="Georgia"/>
          <w:lang w:val="en-GB"/>
        </w:rPr>
      </w:pPr>
      <w:r w:rsidRPr="0014144D">
        <w:rPr>
          <w:rFonts w:ascii="Georgia" w:hAnsi="Georgia"/>
          <w:lang w:val="en-US"/>
        </w:rPr>
        <w:t>Fricker, M. (20</w:t>
      </w:r>
      <w:r w:rsidRPr="0014144D" w:rsidR="00E7120B">
        <w:rPr>
          <w:rFonts w:ascii="Georgia" w:hAnsi="Georgia"/>
          <w:lang w:val="en-US"/>
        </w:rPr>
        <w:t>0</w:t>
      </w:r>
      <w:r w:rsidRPr="0014144D">
        <w:rPr>
          <w:rFonts w:ascii="Georgia" w:hAnsi="Georgia"/>
          <w:lang w:val="en-US"/>
        </w:rPr>
        <w:t xml:space="preserve">7). </w:t>
      </w:r>
      <w:r w:rsidRPr="0014144D">
        <w:rPr>
          <w:rFonts w:ascii="Georgia" w:hAnsi="Georgia"/>
          <w:i/>
          <w:iCs/>
          <w:lang w:val="en-US"/>
        </w:rPr>
        <w:t>Epistemic Injustice</w:t>
      </w:r>
      <w:r w:rsidRPr="0014144D">
        <w:rPr>
          <w:rFonts w:ascii="Georgia" w:hAnsi="Georgia"/>
          <w:lang w:val="en-US"/>
        </w:rPr>
        <w:t xml:space="preserve">. Oxford: Oxford University Press. </w:t>
      </w:r>
    </w:p>
    <w:p w:rsidRPr="0014144D" w:rsidR="00ED51F0" w:rsidP="6993879A" w:rsidRDefault="00ED51F0" w14:paraId="2F295560" w14:textId="2800149C">
      <w:pPr>
        <w:jc w:val="both"/>
        <w:rPr>
          <w:rFonts w:ascii="Georgia" w:hAnsi="Georgia"/>
          <w:bdr w:val="none" w:color="auto" w:sz="0" w:space="0" w:frame="1"/>
          <w:lang w:val="en-US"/>
        </w:rPr>
      </w:pPr>
      <w:r w:rsidRPr="6993879A">
        <w:rPr>
          <w:rFonts w:ascii="Georgia" w:hAnsi="Georgia"/>
          <w:bdr w:val="none" w:color="auto" w:sz="0" w:space="0" w:frame="1"/>
          <w:lang w:val="en-US"/>
        </w:rPr>
        <w:t>Gluer, K. and Wikforss, A. (2022). “What is Knowledge Resistance?”, with Åsa Wikforss, in:</w:t>
      </w:r>
      <w:r w:rsidRPr="6993879A">
        <w:rPr>
          <w:rFonts w:ascii="Georgia" w:hAnsi="Georgia" w:eastAsia="Times New Roman"/>
          <w:bdr w:val="none" w:color="auto" w:sz="0" w:space="0" w:frame="1"/>
          <w:lang w:val="en-US"/>
        </w:rPr>
        <w:t> </w:t>
      </w:r>
      <w:r w:rsidRPr="6993879A">
        <w:rPr>
          <w:rFonts w:ascii="Georgia" w:hAnsi="Georgia" w:eastAsia="Times New Roman"/>
          <w:i w:val="1"/>
          <w:iCs w:val="1"/>
          <w:bdr w:val="none" w:color="auto" w:sz="0" w:space="0" w:frame="1"/>
          <w:lang w:val="en-US"/>
        </w:rPr>
        <w:t>Knowledge Resistance in High-Choice Information Environments</w:t>
      </w:r>
      <w:r w:rsidRPr="6993879A">
        <w:rPr>
          <w:rFonts w:ascii="Georgia" w:hAnsi="Georgia" w:eastAsia="Times New Roman"/>
          <w:bdr w:val="none" w:color="auto" w:sz="0" w:space="0" w:frame="1"/>
          <w:lang w:val="en-US"/>
        </w:rPr>
        <w:t>, </w:t>
      </w:r>
      <w:r w:rsidRPr="6993879A">
        <w:rPr>
          <w:rFonts w:ascii="Georgia" w:hAnsi="Georgia"/>
          <w:bdr w:val="none" w:color="auto" w:sz="0" w:space="0" w:frame="1"/>
          <w:lang w:val="en-US"/>
        </w:rPr>
        <w:t>ed. by Jesper Strömbäck, Åsa Wikforss, Kathrin Glüer, Torun Lindholm and Henrik Oscarsson, Routledge, 29-48.</w:t>
      </w:r>
    </w:p>
    <w:p w:rsidRPr="0014144D" w:rsidR="00ED51F0" w:rsidP="6993879A" w:rsidRDefault="00ED51F0" w14:paraId="385AB7B6" w14:textId="3A20CADC">
      <w:pPr>
        <w:jc w:val="both"/>
        <w:rPr>
          <w:rFonts w:ascii="Georgia" w:hAnsi="Georgia"/>
          <w:bdr w:val="none" w:color="auto" w:sz="0" w:space="0" w:frame="1"/>
          <w:lang w:val="en-US"/>
        </w:rPr>
      </w:pPr>
      <w:r w:rsidRPr="6993879A">
        <w:rPr>
          <w:rFonts w:ascii="Georgia" w:hAnsi="Georgia"/>
          <w:bdr w:val="none" w:color="auto" w:sz="0" w:space="0" w:frame="1"/>
          <w:lang w:val="en-US"/>
        </w:rPr>
        <w:t xml:space="preserve">Gluer, K. and Spectre, L. (2024). Where Is the Motivation in Motivated Numeracy? Review of Philosophy and Psychology, Online First.  </w:t>
      </w:r>
    </w:p>
    <w:p w:rsidRPr="0014144D" w:rsidR="00EC3124" w:rsidP="00353926" w:rsidRDefault="00EC3124" w14:paraId="56B984B7" w14:textId="0428CBA4">
      <w:pPr>
        <w:jc w:val="both"/>
        <w:rPr>
          <w:rFonts w:ascii="Georgia" w:hAnsi="Georgia"/>
          <w:bdr w:val="none" w:color="auto" w:sz="0" w:space="0" w:frame="1"/>
        </w:rPr>
      </w:pPr>
      <w:r w:rsidRPr="0014144D">
        <w:rPr>
          <w:rFonts w:ascii="Georgia" w:hAnsi="Georgia"/>
          <w:bdr w:val="none" w:color="auto" w:sz="0" w:space="0" w:frame="1"/>
        </w:rPr>
        <w:t>Hawley, K. (2019). How to Be Trustworthy? Oxford: Oxford University Press.</w:t>
      </w:r>
    </w:p>
    <w:p w:rsidRPr="0014144D" w:rsidR="00ED51F0" w:rsidP="00353926" w:rsidRDefault="00ED51F0" w14:paraId="5F6622A0" w14:textId="77777777">
      <w:pPr>
        <w:jc w:val="both"/>
        <w:rPr>
          <w:rStyle w:val="Hyperlink"/>
          <w:rFonts w:ascii="Georgia" w:hAnsi="Georgia" w:cs="Segoe UI"/>
          <w:color w:val="000000" w:themeColor="text1"/>
          <w:u w:val="none"/>
          <w:shd w:val="clear" w:color="auto" w:fill="FCFCFC"/>
        </w:rPr>
      </w:pPr>
      <w:r w:rsidRPr="0014144D">
        <w:rPr>
          <w:rStyle w:val="Hyperlink"/>
          <w:rFonts w:ascii="Georgia" w:hAnsi="Georgia" w:cs="Segoe UI"/>
          <w:color w:val="000000" w:themeColor="text1"/>
          <w:u w:val="none"/>
          <w:shd w:val="clear" w:color="auto" w:fill="FCFCFC"/>
        </w:rPr>
        <w:t>Kahan, D. (2013). Ideology, Motivated Reasoning, and Cognitive Reflection. Judgement and Decision Making 8: 407-424.</w:t>
      </w:r>
    </w:p>
    <w:p w:rsidRPr="0014144D" w:rsidR="00ED51F0" w:rsidP="00353926" w:rsidRDefault="00ED51F0" w14:paraId="6C4B3E25" w14:textId="77777777">
      <w:pPr>
        <w:jc w:val="both"/>
        <w:rPr>
          <w:rFonts w:ascii="Georgia" w:hAnsi="Georgia" w:cs="Segoe UI"/>
          <w:shd w:val="clear" w:color="auto" w:fill="FCFCFC"/>
        </w:rPr>
      </w:pPr>
      <w:r w:rsidRPr="0014144D">
        <w:rPr>
          <w:rStyle w:val="Hyperlink"/>
          <w:rFonts w:ascii="Georgia" w:hAnsi="Georgia" w:cs="Segoe UI"/>
          <w:color w:val="000000" w:themeColor="text1"/>
          <w:u w:val="none"/>
          <w:shd w:val="clear" w:color="auto" w:fill="FCFCFC"/>
        </w:rPr>
        <w:t>Kahan, D.</w:t>
      </w:r>
      <w:r w:rsidRPr="0014144D">
        <w:rPr>
          <w:rFonts w:ascii="Georgia" w:hAnsi="Georgia" w:cs="Segoe UI"/>
          <w:color w:val="000000" w:themeColor="text1"/>
          <w:shd w:val="clear" w:color="auto" w:fill="FCFCFC"/>
        </w:rPr>
        <w:t xml:space="preserve"> </w:t>
      </w:r>
      <w:r w:rsidRPr="0014144D">
        <w:rPr>
          <w:rFonts w:ascii="Georgia" w:hAnsi="Georgia" w:cs="Segoe UI"/>
          <w:shd w:val="clear" w:color="auto" w:fill="FCFCFC"/>
        </w:rPr>
        <w:t xml:space="preserve">(2016). “The Politically Motivated Reasoning Paradigm, Part 1: What Politically Motivated Reasoning Is and How to Measure It.” In </w:t>
      </w:r>
      <w:r w:rsidRPr="0014144D">
        <w:rPr>
          <w:rFonts w:ascii="Georgia" w:hAnsi="Georgia" w:cs="Segoe UI"/>
          <w:i/>
          <w:iCs/>
          <w:shd w:val="clear" w:color="auto" w:fill="FCFCFC"/>
        </w:rPr>
        <w:t>Emerging Trends in the Social and Behavioral Sciences</w:t>
      </w:r>
      <w:r w:rsidRPr="0014144D">
        <w:rPr>
          <w:rFonts w:ascii="Georgia" w:hAnsi="Georgia" w:cs="Segoe UI"/>
          <w:shd w:val="clear" w:color="auto" w:fill="FCFCFC"/>
        </w:rPr>
        <w:t xml:space="preserve">, 1–16. </w:t>
      </w:r>
    </w:p>
    <w:p w:rsidRPr="0014144D" w:rsidR="00ED51F0" w:rsidP="00353926" w:rsidRDefault="00ED51F0" w14:paraId="45300CC1" w14:textId="099C040D">
      <w:pPr>
        <w:jc w:val="both"/>
        <w:rPr>
          <w:rFonts w:ascii="Georgia" w:hAnsi="Georgia" w:cs="Segoe UI"/>
          <w:shd w:val="clear" w:color="auto" w:fill="FCFCFC"/>
        </w:rPr>
      </w:pPr>
      <w:r w:rsidRPr="0014144D">
        <w:rPr>
          <w:rFonts w:ascii="Georgia" w:hAnsi="Georgia" w:cs="Segoe UI"/>
          <w:shd w:val="clear" w:color="auto" w:fill="FCFCFC"/>
        </w:rPr>
        <w:t xml:space="preserve">Kahan, Dan, Hank Jenkins-Smith, and Donald Braman. (2011). “Cultural Cognition of Scientific Consensus.” </w:t>
      </w:r>
      <w:r w:rsidRPr="0014144D">
        <w:rPr>
          <w:rFonts w:ascii="Georgia" w:hAnsi="Georgia" w:cs="Segoe UI"/>
          <w:i/>
          <w:iCs/>
          <w:shd w:val="clear" w:color="auto" w:fill="FCFCFC"/>
        </w:rPr>
        <w:t xml:space="preserve">Journal of Risk Research </w:t>
      </w:r>
      <w:r w:rsidRPr="0014144D">
        <w:rPr>
          <w:rFonts w:ascii="Georgia" w:hAnsi="Georgia" w:cs="Segoe UI"/>
          <w:shd w:val="clear" w:color="auto" w:fill="FCFCFC"/>
        </w:rPr>
        <w:t xml:space="preserve">14 (2): 147–74. </w:t>
      </w:r>
    </w:p>
    <w:p w:rsidRPr="0014144D" w:rsidR="00F8113D" w:rsidP="6993879A" w:rsidRDefault="00F8113D" w14:paraId="6A684719" w14:textId="77777777">
      <w:pPr>
        <w:adjustRightInd w:val="0"/>
        <w:snapToGrid w:val="0"/>
        <w:jc w:val="both"/>
        <w:rPr>
          <w:rFonts w:ascii="Georgia" w:hAnsi="Georgia"/>
          <w:color w:val="000000" w:themeColor="text1"/>
          <w:lang w:val="en-US"/>
        </w:rPr>
      </w:pPr>
      <w:r w:rsidRPr="6993879A" w:rsidR="6993879A">
        <w:rPr>
          <w:rFonts w:ascii="Georgia" w:hAnsi="Georgia"/>
          <w:color w:val="000000" w:themeColor="text1" w:themeTint="FF" w:themeShade="FF"/>
          <w:lang w:val="en-US"/>
        </w:rPr>
        <w:t>Kelp, C. and Simion, M. (2017). Commodious Knowledge. </w:t>
      </w:r>
      <w:r w:rsidRPr="6993879A" w:rsidR="6993879A">
        <w:rPr>
          <w:rFonts w:ascii="Georgia" w:hAnsi="Georgia"/>
          <w:i w:val="1"/>
          <w:iCs w:val="1"/>
          <w:color w:val="000000" w:themeColor="text1" w:themeTint="FF" w:themeShade="FF"/>
          <w:lang w:val="en-US"/>
        </w:rPr>
        <w:t xml:space="preserve">Synthese, </w:t>
      </w:r>
      <w:r w:rsidRPr="6993879A" w:rsidR="6993879A">
        <w:rPr>
          <w:rFonts w:ascii="Georgia" w:hAnsi="Georgia"/>
          <w:color w:val="000000" w:themeColor="text1" w:themeTint="FF" w:themeShade="FF"/>
          <w:lang w:val="en-US"/>
        </w:rPr>
        <w:t>194: 1487–1502.</w:t>
      </w:r>
    </w:p>
    <w:p w:rsidRPr="0014144D" w:rsidR="00F8113D" w:rsidP="6993879A" w:rsidRDefault="00F8113D" w14:paraId="3D7C8B69" w14:textId="77777777">
      <w:pPr>
        <w:jc w:val="both"/>
        <w:rPr>
          <w:rFonts w:ascii="Georgia" w:hAnsi="Georgia"/>
          <w:color w:val="000000" w:themeColor="text1"/>
          <w:shd w:val="clear" w:color="auto" w:fill="FFFFFF"/>
          <w:lang w:val="en-US"/>
        </w:rPr>
      </w:pPr>
      <w:r w:rsidRPr="6993879A">
        <w:rPr>
          <w:rFonts w:ascii="Georgia" w:hAnsi="Georgia"/>
          <w:color w:val="000000" w:themeColor="text1"/>
          <w:shd w:val="clear" w:color="auto" w:fill="FFFFFF"/>
          <w:lang w:val="en-US"/>
        </w:rPr>
        <w:t xml:space="preserve">Kelp, C. and Simion, M. (2020). The C-Account of Assertion: A Negative Result (with Chris Kelp). </w:t>
      </w:r>
      <w:r w:rsidRPr="6993879A">
        <w:rPr>
          <w:rFonts w:ascii="Georgia" w:hAnsi="Georgia"/>
          <w:i w:val="1"/>
          <w:iCs w:val="1"/>
          <w:color w:val="000000" w:themeColor="text1"/>
          <w:shd w:val="clear" w:color="auto" w:fill="FFFFFF"/>
          <w:lang w:val="en-US"/>
        </w:rPr>
        <w:t xml:space="preserve">Synthese </w:t>
      </w:r>
      <w:r w:rsidRPr="6993879A">
        <w:rPr>
          <w:rFonts w:ascii="Georgia" w:hAnsi="Georgia"/>
          <w:color w:val="000000" w:themeColor="text1"/>
          <w:shd w:val="clear" w:color="auto" w:fill="FFFFFF"/>
          <w:lang w:val="en-US"/>
        </w:rPr>
        <w:t>197: 125–137. </w:t>
      </w:r>
    </w:p>
    <w:p w:rsidR="00353926" w:rsidP="00353926" w:rsidRDefault="00F8113D" w14:paraId="57996B4F" w14:textId="77777777">
      <w:pPr>
        <w:jc w:val="both"/>
        <w:rPr>
          <w:rFonts w:ascii="Georgia" w:hAnsi="Georgia"/>
          <w:color w:val="000000" w:themeColor="text1"/>
          <w:lang w:val="en-GB"/>
        </w:rPr>
      </w:pPr>
      <w:r w:rsidRPr="0014144D">
        <w:rPr>
          <w:rFonts w:ascii="Georgia" w:hAnsi="Georgia"/>
          <w:color w:val="000000" w:themeColor="text1"/>
        </w:rPr>
        <w:t>Kelp, C. and Simion, M. (2023). What is Trustworthiness?</w:t>
      </w:r>
      <w:r w:rsidRPr="0014144D" w:rsidR="00C70778">
        <w:rPr>
          <w:rFonts w:ascii="Georgia" w:hAnsi="Georgia"/>
          <w:color w:val="000000" w:themeColor="text1"/>
        </w:rPr>
        <w:t xml:space="preserve">. </w:t>
      </w:r>
      <w:r w:rsidRPr="0014144D">
        <w:rPr>
          <w:rFonts w:ascii="Georgia" w:hAnsi="Georgia"/>
          <w:i/>
          <w:iCs/>
          <w:color w:val="000000" w:themeColor="text1"/>
        </w:rPr>
        <w:t>Nous</w:t>
      </w:r>
      <w:r w:rsidRPr="0014144D" w:rsidR="00C70778">
        <w:rPr>
          <w:rFonts w:ascii="Georgia" w:hAnsi="Georgia"/>
          <w:color w:val="000000" w:themeColor="text1"/>
        </w:rPr>
        <w:t>, vol 57/3, p</w:t>
      </w:r>
      <w:r w:rsidRPr="0014144D" w:rsidR="00C70778">
        <w:rPr>
          <w:rFonts w:ascii="Georgia" w:hAnsi="Georgia"/>
          <w:color w:val="000000" w:themeColor="text1"/>
          <w:lang w:val="en-GB"/>
        </w:rPr>
        <w:t>ages 667-683.</w:t>
      </w:r>
    </w:p>
    <w:p w:rsidRPr="0014144D" w:rsidR="00353926" w:rsidP="00353926" w:rsidRDefault="00353926" w14:paraId="2CF6B341" w14:textId="33B68FFD">
      <w:pPr>
        <w:jc w:val="both"/>
        <w:rPr>
          <w:rFonts w:ascii="Georgia" w:hAnsi="Georgia"/>
          <w:color w:val="000000" w:themeColor="text1"/>
          <w:lang w:val="en-GB"/>
        </w:rPr>
      </w:pPr>
      <w:r w:rsidRPr="00353926">
        <w:rPr>
          <w:rFonts w:ascii="Georgia" w:hAnsi="Georgia"/>
          <w:color w:val="000000" w:themeColor="text1"/>
          <w:lang w:val="en-GB"/>
        </w:rPr>
        <w:t xml:space="preserve">Korte, M. (2020). The impact of the digital revolution on human brain and </w:t>
      </w:r>
      <w:proofErr w:type="spellStart"/>
      <w:r w:rsidRPr="00353926">
        <w:rPr>
          <w:rFonts w:ascii="Georgia" w:hAnsi="Georgia"/>
          <w:color w:val="000000" w:themeColor="text1"/>
          <w:lang w:val="en-GB"/>
        </w:rPr>
        <w:t>behavior</w:t>
      </w:r>
      <w:proofErr w:type="spellEnd"/>
      <w:r w:rsidRPr="00353926">
        <w:rPr>
          <w:rFonts w:ascii="Georgia" w:hAnsi="Georgia"/>
          <w:color w:val="000000" w:themeColor="text1"/>
          <w:lang w:val="en-GB"/>
        </w:rPr>
        <w:t xml:space="preserve">: Where do we </w:t>
      </w:r>
      <w:proofErr w:type="gramStart"/>
      <w:r w:rsidRPr="00353926">
        <w:rPr>
          <w:rFonts w:ascii="Georgia" w:hAnsi="Georgia"/>
          <w:color w:val="000000" w:themeColor="text1"/>
          <w:lang w:val="en-GB"/>
        </w:rPr>
        <w:t>stand?.</w:t>
      </w:r>
      <w:proofErr w:type="gramEnd"/>
      <w:r w:rsidRPr="00353926">
        <w:rPr>
          <w:rFonts w:ascii="Georgia" w:hAnsi="Georgia"/>
          <w:color w:val="000000" w:themeColor="text1"/>
          <w:lang w:val="en-GB"/>
        </w:rPr>
        <w:t> </w:t>
      </w:r>
      <w:r w:rsidRPr="00353926">
        <w:rPr>
          <w:rFonts w:ascii="Georgia" w:hAnsi="Georgia"/>
          <w:i/>
          <w:iCs/>
          <w:color w:val="000000" w:themeColor="text1"/>
          <w:lang w:val="en-GB"/>
        </w:rPr>
        <w:t>Dialogues in Clinical Neuroscience</w:t>
      </w:r>
      <w:r w:rsidRPr="00353926">
        <w:rPr>
          <w:rFonts w:ascii="Georgia" w:hAnsi="Georgia"/>
          <w:color w:val="000000" w:themeColor="text1"/>
          <w:lang w:val="en-GB"/>
        </w:rPr>
        <w:t>, 22(2), 101-111. </w:t>
      </w:r>
      <w:hyperlink w:tgtFrame="_blank" w:history="1" r:id="rId10">
        <w:r w:rsidRPr="00353926">
          <w:rPr>
            <w:rStyle w:val="Hyperlink"/>
            <w:rFonts w:ascii="Georgia" w:hAnsi="Georgia"/>
            <w:lang w:val="en-GB"/>
          </w:rPr>
          <w:t>https://doi.org/10.31887/DCNS.2020.22.2/mkorte</w:t>
        </w:r>
      </w:hyperlink>
    </w:p>
    <w:p w:rsidRPr="0014144D" w:rsidR="00E015BD" w:rsidP="00353926" w:rsidRDefault="00E015BD" w14:paraId="2C3E25AD" w14:textId="614BAB11">
      <w:pPr>
        <w:jc w:val="both"/>
        <w:rPr>
          <w:rFonts w:ascii="Georgia" w:hAnsi="Georgia"/>
          <w:color w:val="000000" w:themeColor="text1"/>
          <w:lang w:val="en-GB"/>
        </w:rPr>
      </w:pPr>
      <w:r w:rsidRPr="0014144D">
        <w:rPr>
          <w:rFonts w:ascii="Georgia" w:hAnsi="Georgia"/>
          <w:color w:val="000000" w:themeColor="text1"/>
          <w:lang w:val="en-GB"/>
        </w:rPr>
        <w:t>Kapadia D, Zhang J, Salway S, et al; NHS Race &amp; Health Observatory. Ethnic inequalities in healthcare: a rapid evidence review. Feb 2022. </w:t>
      </w:r>
      <w:hyperlink w:history="1" r:id="rId11">
        <w:r w:rsidRPr="0014144D">
          <w:rPr>
            <w:rStyle w:val="Hyperlink"/>
            <w:rFonts w:ascii="Georgia" w:hAnsi="Georgia"/>
            <w:lang w:val="en-GB"/>
          </w:rPr>
          <w:t>https://www.nhsrho.org/wp-content/uploads/2022/02/RHO-Rapid-Review-Final-Report_v.7.pdf</w:t>
        </w:r>
      </w:hyperlink>
    </w:p>
    <w:p w:rsidRPr="0014144D" w:rsidR="00ED51F0" w:rsidP="00353926" w:rsidRDefault="00ED51F0" w14:paraId="2EDDCAED" w14:textId="2DFBD7D6">
      <w:pPr>
        <w:jc w:val="both"/>
        <w:rPr>
          <w:rFonts w:ascii="Georgia" w:hAnsi="Georgia"/>
          <w:bdr w:val="none" w:color="auto" w:sz="0" w:space="0" w:frame="1"/>
        </w:rPr>
      </w:pPr>
      <w:r w:rsidRPr="0014144D">
        <w:rPr>
          <w:rFonts w:ascii="Georgia" w:hAnsi="Georgia"/>
          <w:bdr w:val="none" w:color="auto" w:sz="0" w:space="0" w:frame="1"/>
        </w:rPr>
        <w:t>Kunda, Z. (1987).</w:t>
      </w:r>
      <w:r w:rsidRPr="0014144D" w:rsidR="00C70778">
        <w:rPr>
          <w:rFonts w:ascii="Georgia" w:hAnsi="Georgia"/>
          <w:bdr w:val="none" w:color="auto" w:sz="0" w:space="0" w:frame="1"/>
        </w:rPr>
        <w:t xml:space="preserve"> </w:t>
      </w:r>
      <w:r w:rsidRPr="0014144D">
        <w:rPr>
          <w:rFonts w:ascii="Georgia" w:hAnsi="Georgia"/>
          <w:bdr w:val="none" w:color="auto" w:sz="0" w:space="0" w:frame="1"/>
        </w:rPr>
        <w:t xml:space="preserve">Motivated Inference: Self-Serving Generation and Evaluation of Causal </w:t>
      </w:r>
    </w:p>
    <w:p w:rsidRPr="0014144D" w:rsidR="00ED51F0" w:rsidP="00353926" w:rsidRDefault="00ED51F0" w14:paraId="0DBEB693" w14:textId="0B5DF739">
      <w:pPr>
        <w:jc w:val="both"/>
        <w:rPr>
          <w:rFonts w:ascii="Georgia" w:hAnsi="Georgia"/>
          <w:bdr w:val="none" w:color="auto" w:sz="0" w:space="0" w:frame="1"/>
        </w:rPr>
      </w:pPr>
      <w:r w:rsidRPr="0014144D">
        <w:rPr>
          <w:rFonts w:ascii="Georgia" w:hAnsi="Georgia"/>
          <w:bdr w:val="none" w:color="auto" w:sz="0" w:space="0" w:frame="1"/>
        </w:rPr>
        <w:t>Theories.</w:t>
      </w:r>
      <w:r w:rsidRPr="0014144D" w:rsidR="00C70778">
        <w:rPr>
          <w:rFonts w:ascii="Georgia" w:hAnsi="Georgia"/>
          <w:bdr w:val="none" w:color="auto" w:sz="0" w:space="0" w:frame="1"/>
        </w:rPr>
        <w:t xml:space="preserve"> </w:t>
      </w:r>
      <w:r w:rsidRPr="0014144D">
        <w:rPr>
          <w:rFonts w:ascii="Georgia" w:hAnsi="Georgia"/>
          <w:i/>
          <w:iCs/>
          <w:bdr w:val="none" w:color="auto" w:sz="0" w:space="0" w:frame="1"/>
        </w:rPr>
        <w:t xml:space="preserve">Journal of Personality and Social Psychology </w:t>
      </w:r>
      <w:r w:rsidRPr="0014144D">
        <w:rPr>
          <w:rFonts w:ascii="Georgia" w:hAnsi="Georgia"/>
          <w:bdr w:val="none" w:color="auto" w:sz="0" w:space="0" w:frame="1"/>
        </w:rPr>
        <w:t>53 (4): 636–47.</w:t>
      </w:r>
    </w:p>
    <w:p w:rsidRPr="0014144D" w:rsidR="00ED51F0" w:rsidP="00353926" w:rsidRDefault="00ED51F0" w14:paraId="2ACDA91F" w14:textId="7FFBBBFA">
      <w:pPr>
        <w:jc w:val="both"/>
        <w:rPr>
          <w:rFonts w:ascii="Georgia" w:hAnsi="Georgia" w:eastAsia="Times New Roman" w:cs="Times New Roman"/>
          <w:bdr w:val="none" w:color="auto" w:sz="0" w:space="0" w:frame="1"/>
          <w:lang w:val="en-GB"/>
        </w:rPr>
      </w:pPr>
      <w:r w:rsidRPr="0014144D">
        <w:rPr>
          <w:rFonts w:ascii="Georgia" w:hAnsi="Georgia"/>
          <w:lang w:val="en-US"/>
        </w:rPr>
        <w:t>Lackey, J. 2018: “Experts and Peer Disagreement”, in: M. Benton, J. Hawthorne &amp; D. Rabinowitz (eds.), Knowledge, Belief, and God: New Insights in Religious Epistemology, OUP: 228-45.</w:t>
      </w:r>
    </w:p>
    <w:p w:rsidRPr="0014144D" w:rsidR="00ED51F0" w:rsidP="6993879A" w:rsidRDefault="00ED51F0" w14:paraId="0A5F7CAE" w14:textId="049067F4">
      <w:pPr>
        <w:jc w:val="both"/>
        <w:rPr>
          <w:rFonts w:ascii="Georgia" w:hAnsi="Georgia"/>
          <w:lang w:val="en-US"/>
        </w:rPr>
      </w:pPr>
      <w:r w:rsidRPr="6993879A" w:rsidR="6993879A">
        <w:rPr>
          <w:rFonts w:ascii="Georgia" w:hAnsi="Georgia"/>
          <w:lang w:val="en-US"/>
        </w:rPr>
        <w:t>Lord, C</w:t>
      </w:r>
      <w:r w:rsidRPr="6993879A" w:rsidR="6993879A">
        <w:rPr>
          <w:rFonts w:ascii="Georgia" w:hAnsi="Georgia"/>
          <w:lang w:val="en-US"/>
        </w:rPr>
        <w:t>.</w:t>
      </w:r>
      <w:r w:rsidRPr="6993879A" w:rsidR="6993879A">
        <w:rPr>
          <w:rFonts w:ascii="Georgia" w:hAnsi="Georgia"/>
          <w:lang w:val="en-US"/>
        </w:rPr>
        <w:t xml:space="preserve"> G., Ross, </w:t>
      </w:r>
      <w:r w:rsidRPr="6993879A" w:rsidR="6993879A">
        <w:rPr>
          <w:rFonts w:ascii="Georgia" w:hAnsi="Georgia"/>
          <w:lang w:val="en-US"/>
        </w:rPr>
        <w:t xml:space="preserve">L. </w:t>
      </w:r>
      <w:r w:rsidRPr="6993879A" w:rsidR="6993879A">
        <w:rPr>
          <w:rFonts w:ascii="Georgia" w:hAnsi="Georgia"/>
          <w:lang w:val="en-US"/>
        </w:rPr>
        <w:t>and Lepper</w:t>
      </w:r>
      <w:r w:rsidRPr="6993879A" w:rsidR="6993879A">
        <w:rPr>
          <w:rFonts w:ascii="Georgia" w:hAnsi="Georgia"/>
          <w:lang w:val="en-US"/>
        </w:rPr>
        <w:t>, M.R</w:t>
      </w:r>
      <w:r w:rsidRPr="6993879A" w:rsidR="6993879A">
        <w:rPr>
          <w:rFonts w:ascii="Georgia" w:hAnsi="Georgia"/>
          <w:lang w:val="en-US"/>
        </w:rPr>
        <w:t>. (1979). Biased Assimiliation and Attitude</w:t>
      </w:r>
      <w:r w:rsidRPr="6993879A" w:rsidR="6993879A">
        <w:rPr>
          <w:rFonts w:ascii="Georgia" w:hAnsi="Georgia"/>
          <w:lang w:val="en-US"/>
        </w:rPr>
        <w:t xml:space="preserve"> </w:t>
      </w:r>
      <w:r w:rsidRPr="6993879A" w:rsidR="6993879A">
        <w:rPr>
          <w:rFonts w:ascii="Georgia" w:hAnsi="Georgia"/>
          <w:lang w:val="en-US"/>
        </w:rPr>
        <w:t>Polarization: The Effects of Prior Theories on Subsequently Considered Evidence.</w:t>
      </w:r>
      <w:r w:rsidRPr="6993879A" w:rsidR="6993879A">
        <w:rPr>
          <w:rFonts w:ascii="Georgia" w:hAnsi="Georgia"/>
          <w:lang w:val="en-US"/>
        </w:rPr>
        <w:t xml:space="preserve"> </w:t>
      </w:r>
      <w:r w:rsidRPr="6993879A" w:rsidR="6993879A">
        <w:rPr>
          <w:rFonts w:ascii="Georgia" w:hAnsi="Georgia"/>
          <w:i w:val="1"/>
          <w:iCs w:val="1"/>
          <w:lang w:val="en-US"/>
        </w:rPr>
        <w:t>Journal of Personality and Social Psychology</w:t>
      </w:r>
      <w:r w:rsidRPr="6993879A" w:rsidR="6993879A">
        <w:rPr>
          <w:rFonts w:ascii="Georgia" w:hAnsi="Georgia"/>
          <w:lang w:val="en-US"/>
        </w:rPr>
        <w:t xml:space="preserve"> 37 (11), 2098–2109.</w:t>
      </w:r>
    </w:p>
    <w:p w:rsidR="002978BC" w:rsidP="002978BC" w:rsidRDefault="00ED51F0" w14:paraId="56985037" w14:textId="77777777">
      <w:pPr>
        <w:jc w:val="both"/>
        <w:rPr>
          <w:rFonts w:ascii="Georgia" w:hAnsi="Georgia"/>
          <w:bdr w:val="none" w:color="auto" w:sz="0" w:space="0" w:frame="1"/>
        </w:rPr>
      </w:pPr>
      <w:r w:rsidRPr="0014144D">
        <w:rPr>
          <w:rFonts w:ascii="Georgia" w:hAnsi="Georgia"/>
          <w:bdr w:val="none" w:color="auto" w:sz="0" w:space="0" w:frame="1"/>
        </w:rPr>
        <w:t xml:space="preserve">Molden, Daniel C., and E. Tory Higgins. (2012). “Motivated Thinking.” In </w:t>
      </w:r>
      <w:r w:rsidRPr="0014144D">
        <w:rPr>
          <w:rFonts w:ascii="Georgia" w:hAnsi="Georgia"/>
          <w:i/>
          <w:iCs/>
          <w:bdr w:val="none" w:color="auto" w:sz="0" w:space="0" w:frame="1"/>
        </w:rPr>
        <w:t>The Oxford Handbook of Thinking and Reasoning</w:t>
      </w:r>
      <w:r w:rsidRPr="0014144D">
        <w:rPr>
          <w:rFonts w:ascii="Georgia" w:hAnsi="Georgia"/>
          <w:bdr w:val="none" w:color="auto" w:sz="0" w:space="0" w:frame="1"/>
        </w:rPr>
        <w:t xml:space="preserve">, 390–409. </w:t>
      </w:r>
    </w:p>
    <w:p w:rsidRPr="0014144D" w:rsidR="002978BC" w:rsidP="00353926" w:rsidRDefault="002978BC" w14:paraId="36ECEA8C" w14:textId="2C4A353C">
      <w:pPr>
        <w:jc w:val="both"/>
        <w:rPr>
          <w:rFonts w:ascii="Georgia" w:hAnsi="Georgia"/>
          <w:bdr w:val="none" w:color="auto" w:sz="0" w:space="0" w:frame="1"/>
        </w:rPr>
      </w:pPr>
      <w:r w:rsidRPr="002978BC">
        <w:rPr>
          <w:rFonts w:ascii="Georgia" w:hAnsi="Georgia"/>
          <w:bdr w:val="none" w:color="auto" w:sz="0" w:space="0" w:frame="1"/>
          <w:lang w:val="en-GB"/>
        </w:rPr>
        <w:t>Organisation for Economic Co-operation and Development. (2024). OECD Survey on Drivers of Trust in Public Institutions – 2024 Results. </w:t>
      </w:r>
      <w:hyperlink w:tgtFrame="_blank" w:history="1" r:id="rId12">
        <w:r w:rsidRPr="002978BC">
          <w:rPr>
            <w:rStyle w:val="Hyperlink"/>
            <w:rFonts w:ascii="Georgia" w:hAnsi="Georgia"/>
            <w:bdr w:val="none" w:color="auto" w:sz="0" w:space="0" w:frame="1"/>
            <w:lang w:val="en-GB"/>
          </w:rPr>
          <w:t>https://www.oecd.org/en/topics/sub-issues/trust-in-government.html</w:t>
        </w:r>
      </w:hyperlink>
    </w:p>
    <w:p w:rsidRPr="0014144D" w:rsidR="00ED51F0" w:rsidP="6993879A" w:rsidRDefault="00ED51F0" w14:paraId="4360E306" w14:textId="4591885A">
      <w:pPr>
        <w:jc w:val="both"/>
        <w:rPr>
          <w:rFonts w:ascii="Georgia" w:hAnsi="Georgia"/>
          <w:color w:val="000000" w:themeColor="text1"/>
          <w:lang w:val="en-US"/>
        </w:rPr>
      </w:pPr>
      <w:r w:rsidRPr="6993879A" w:rsidR="6993879A">
        <w:rPr>
          <w:rFonts w:ascii="Georgia" w:hAnsi="Georgia"/>
          <w:color w:val="000000" w:themeColor="text1" w:themeTint="FF" w:themeShade="FF"/>
          <w:lang w:val="en-US"/>
        </w:rPr>
        <w:t>Pew Research Center(2022)</w:t>
      </w:r>
      <w:hyperlink r:id="R28154ffc867047d6">
        <w:r w:rsidRPr="6993879A" w:rsidR="6993879A">
          <w:rPr>
            <w:rStyle w:val="Hyperlink"/>
            <w:rFonts w:ascii="Georgia" w:hAnsi="Georgia"/>
            <w:color w:val="000000" w:themeColor="text1" w:themeTint="FF" w:themeShade="FF"/>
            <w:lang w:val="en-US"/>
          </w:rPr>
          <w:t>https://www.pewresearch.org/science/2022/02/15/americans-trust-in-scientists-other-groups-declines/</w:t>
        </w:r>
      </w:hyperlink>
      <w:r w:rsidRPr="6993879A" w:rsidR="6993879A">
        <w:rPr>
          <w:rFonts w:ascii="Georgia" w:hAnsi="Georgia"/>
          <w:color w:val="000000" w:themeColor="text1" w:themeTint="FF" w:themeShade="FF"/>
          <w:lang w:val="en-US"/>
        </w:rPr>
        <w:t xml:space="preserve"> </w:t>
      </w:r>
    </w:p>
    <w:p w:rsidR="00E015BD" w:rsidP="6993879A" w:rsidRDefault="003A2960" w14:paraId="0057CF44" w14:textId="0F7EAA09">
      <w:pPr>
        <w:jc w:val="both"/>
        <w:rPr>
          <w:rFonts w:ascii="Georgia" w:hAnsi="Georgia"/>
          <w:color w:val="000000" w:themeColor="text1"/>
          <w:lang w:val="en-US"/>
        </w:rPr>
      </w:pPr>
      <w:r w:rsidRPr="6993879A" w:rsidR="6993879A">
        <w:rPr>
          <w:rFonts w:ascii="Georgia" w:hAnsi="Georgia"/>
          <w:color w:val="000000" w:themeColor="text1" w:themeTint="FF" w:themeShade="FF"/>
          <w:lang w:val="en-US"/>
        </w:rPr>
        <w:t>Saul, J. (2024). Dogwhistl</w:t>
      </w:r>
      <w:r w:rsidRPr="6993879A" w:rsidR="6993879A">
        <w:rPr>
          <w:rFonts w:ascii="Georgia" w:hAnsi="Georgia"/>
          <w:color w:val="000000" w:themeColor="text1" w:themeTint="FF" w:themeShade="FF"/>
          <w:lang w:val="en-US"/>
        </w:rPr>
        <w:t>e</w:t>
      </w:r>
      <w:r w:rsidRPr="6993879A" w:rsidR="6993879A">
        <w:rPr>
          <w:rFonts w:ascii="Georgia" w:hAnsi="Georgia"/>
          <w:color w:val="000000" w:themeColor="text1" w:themeTint="FF" w:themeShade="FF"/>
          <w:lang w:val="en-US"/>
        </w:rPr>
        <w:t>s and Figleaves. Oxford: Oxford University Press.</w:t>
      </w:r>
    </w:p>
    <w:p w:rsidRPr="003365E0" w:rsidR="003365E0" w:rsidP="003365E0" w:rsidRDefault="003365E0" w14:paraId="390DD43F" w14:textId="3F076DD6">
      <w:pPr>
        <w:jc w:val="both"/>
        <w:rPr>
          <w:rFonts w:ascii="Georgia" w:hAnsi="Georgia"/>
          <w:color w:val="000000" w:themeColor="text1"/>
          <w:lang w:val="en-GB"/>
        </w:rPr>
      </w:pPr>
      <w:r>
        <w:rPr>
          <w:rFonts w:ascii="Georgia" w:hAnsi="Georgia"/>
          <w:color w:val="000000" w:themeColor="text1"/>
        </w:rPr>
        <w:t>Scottish Government (2022). Progress Report:</w:t>
      </w:r>
      <w:r w:rsidRPr="003365E0">
        <w:rPr>
          <w:rFonts w:ascii="Georgia" w:hAnsi="Georgia"/>
          <w:color w:val="000000" w:themeColor="text1"/>
        </w:rPr>
        <w:t xml:space="preserve"> </w:t>
      </w:r>
      <w:r w:rsidRPr="003365E0">
        <w:rPr>
          <w:rFonts w:ascii="Georgia" w:hAnsi="Georgia"/>
          <w:color w:val="000000" w:themeColor="text1"/>
          <w:lang w:val="en-GB"/>
        </w:rPr>
        <w:t xml:space="preserve">Coronavirus (COVID-19) vaccine inclusion: vaccination programme - phase one. </w:t>
      </w:r>
      <w:hyperlink w:history="1" r:id="rId13">
        <w:r w:rsidRPr="003365E0">
          <w:rPr>
            <w:rStyle w:val="Hyperlink"/>
            <w:rFonts w:ascii="Georgia" w:hAnsi="Georgia"/>
            <w:lang w:val="en-GB"/>
          </w:rPr>
          <w:t>https://www.gov.scot/publications/vaccine-inclusion-phase-one-covid-19-vaccination-programme/pages/3/</w:t>
        </w:r>
      </w:hyperlink>
      <w:r w:rsidRPr="003365E0">
        <w:rPr>
          <w:rFonts w:ascii="Georgia" w:hAnsi="Georgia"/>
          <w:color w:val="000000" w:themeColor="text1"/>
          <w:lang w:val="en-GB"/>
        </w:rPr>
        <w:t xml:space="preserve"> </w:t>
      </w:r>
    </w:p>
    <w:p w:rsidRPr="0014144D" w:rsidR="00F8113D" w:rsidP="00353926" w:rsidRDefault="00F8113D" w14:paraId="3B0B0EBC" w14:textId="686ED381">
      <w:pPr>
        <w:jc w:val="both"/>
        <w:rPr>
          <w:rFonts w:ascii="Georgia" w:hAnsi="Georgia"/>
          <w:color w:val="000000" w:themeColor="text1"/>
        </w:rPr>
      </w:pPr>
      <w:r w:rsidRPr="0014144D">
        <w:rPr>
          <w:rFonts w:ascii="Georgia" w:hAnsi="Georgia"/>
          <w:color w:val="000000" w:themeColor="text1"/>
        </w:rPr>
        <w:t>Simion, M. (2024</w:t>
      </w:r>
      <w:r w:rsidRPr="0014144D" w:rsidR="0014144D">
        <w:rPr>
          <w:rFonts w:ascii="Georgia" w:hAnsi="Georgia"/>
          <w:color w:val="000000" w:themeColor="text1"/>
        </w:rPr>
        <w:t>a</w:t>
      </w:r>
      <w:r w:rsidRPr="0014144D">
        <w:rPr>
          <w:rFonts w:ascii="Georgia" w:hAnsi="Georgia"/>
          <w:color w:val="000000" w:themeColor="text1"/>
        </w:rPr>
        <w:t xml:space="preserve">). </w:t>
      </w:r>
      <w:r w:rsidRPr="0014144D">
        <w:rPr>
          <w:rFonts w:ascii="Georgia" w:hAnsi="Georgia"/>
          <w:i/>
          <w:iCs/>
          <w:color w:val="000000" w:themeColor="text1"/>
        </w:rPr>
        <w:t>Resistance to Evidence</w:t>
      </w:r>
      <w:r w:rsidRPr="0014144D">
        <w:rPr>
          <w:rFonts w:ascii="Georgia" w:hAnsi="Georgia"/>
          <w:color w:val="000000" w:themeColor="text1"/>
        </w:rPr>
        <w:t>. Cambridge: Cambridge University Press.</w:t>
      </w:r>
    </w:p>
    <w:p w:rsidRPr="0014144D" w:rsidR="0014144D" w:rsidP="00353926" w:rsidRDefault="0014144D" w14:paraId="7D822903" w14:textId="09DA423B">
      <w:pPr>
        <w:jc w:val="both"/>
        <w:rPr>
          <w:rFonts w:ascii="Georgia" w:hAnsi="Georgia"/>
          <w:b/>
          <w:bCs/>
          <w:color w:val="000000" w:themeColor="text1"/>
          <w:lang w:val="en-GB"/>
        </w:rPr>
      </w:pPr>
      <w:r w:rsidRPr="0014144D">
        <w:rPr>
          <w:rFonts w:ascii="Georgia" w:hAnsi="Georgia"/>
          <w:color w:val="000000" w:themeColor="text1"/>
        </w:rPr>
        <w:t xml:space="preserve">Simion, M. (2024b). </w:t>
      </w:r>
      <w:r w:rsidRPr="0014144D">
        <w:rPr>
          <w:rFonts w:ascii="Georgia" w:hAnsi="Georgia"/>
          <w:color w:val="000000" w:themeColor="text1"/>
          <w:lang w:val="en-GB"/>
        </w:rPr>
        <w:t xml:space="preserve">Disinformation, Politically Motivated Reasoning, and Knowledge Resistance. </w:t>
      </w:r>
      <w:r w:rsidRPr="0014144D">
        <w:rPr>
          <w:rFonts w:ascii="Georgia" w:hAnsi="Georgia"/>
          <w:i/>
          <w:iCs/>
          <w:color w:val="000000" w:themeColor="text1"/>
          <w:lang w:val="en-GB"/>
        </w:rPr>
        <w:t>European Review</w:t>
      </w:r>
      <w:r w:rsidRPr="0014144D">
        <w:rPr>
          <w:rFonts w:ascii="Georgia" w:hAnsi="Georgia"/>
          <w:color w:val="000000" w:themeColor="text1"/>
          <w:lang w:val="en-GB"/>
        </w:rPr>
        <w:t>, Online First.</w:t>
      </w:r>
    </w:p>
    <w:p w:rsidRPr="0014144D" w:rsidR="00F8113D" w:rsidP="00353926" w:rsidRDefault="00F8113D" w14:paraId="32412607" w14:textId="77777777">
      <w:pPr>
        <w:jc w:val="both"/>
        <w:rPr>
          <w:rFonts w:ascii="Georgia" w:hAnsi="Georgia"/>
          <w:color w:val="000000" w:themeColor="text1"/>
        </w:rPr>
      </w:pPr>
      <w:r w:rsidRPr="0014144D">
        <w:rPr>
          <w:rFonts w:ascii="Georgia" w:hAnsi="Georgia"/>
          <w:color w:val="000000" w:themeColor="text1"/>
        </w:rPr>
        <w:t xml:space="preserve">Simion, M. (2023). Knowledge and Disinformation. </w:t>
      </w:r>
      <w:r w:rsidRPr="0014144D">
        <w:rPr>
          <w:rFonts w:ascii="Georgia" w:hAnsi="Georgia"/>
          <w:i/>
          <w:iCs/>
          <w:color w:val="000000" w:themeColor="text1"/>
        </w:rPr>
        <w:t>Episteme</w:t>
      </w:r>
      <w:r w:rsidRPr="0014144D">
        <w:rPr>
          <w:rFonts w:ascii="Georgia" w:hAnsi="Georgia"/>
          <w:color w:val="000000" w:themeColor="text1"/>
        </w:rPr>
        <w:t xml:space="preserve">. Special Issue </w:t>
      </w:r>
      <w:r w:rsidRPr="0014144D">
        <w:rPr>
          <w:rFonts w:ascii="Georgia" w:hAnsi="Georgia"/>
          <w:i/>
          <w:iCs/>
          <w:color w:val="000000" w:themeColor="text1"/>
        </w:rPr>
        <w:t>Episteme</w:t>
      </w:r>
      <w:r w:rsidRPr="0014144D">
        <w:rPr>
          <w:rFonts w:ascii="Georgia" w:hAnsi="Georgia"/>
          <w:color w:val="000000" w:themeColor="text1"/>
        </w:rPr>
        <w:t xml:space="preserve"> Conference. Online First.</w:t>
      </w:r>
    </w:p>
    <w:p w:rsidRPr="0014144D" w:rsidR="00F8113D" w:rsidP="6993879A" w:rsidRDefault="00F8113D" w14:paraId="085CAB52" w14:textId="7CFC4301">
      <w:pPr>
        <w:jc w:val="both"/>
        <w:rPr>
          <w:rFonts w:ascii="Georgia" w:hAnsi="Georgia"/>
          <w:color w:val="000000" w:themeColor="text1"/>
          <w:lang w:val="en-US"/>
        </w:rPr>
      </w:pPr>
      <w:r w:rsidRPr="6993879A">
        <w:rPr>
          <w:rFonts w:ascii="Georgia" w:hAnsi="Georgia"/>
          <w:color w:val="000000" w:themeColor="text1"/>
          <w:lang w:val="en-US"/>
        </w:rPr>
        <w:t>Simion, M. (2021</w:t>
      </w:r>
      <w:r w:rsidRPr="6993879A" w:rsidR="00745070">
        <w:rPr>
          <w:rFonts w:ascii="Georgia" w:hAnsi="Georgia"/>
          <w:color w:val="000000" w:themeColor="text1"/>
          <w:lang w:val="en-US"/>
        </w:rPr>
        <w:t>b</w:t>
      </w:r>
      <w:r w:rsidRPr="6993879A">
        <w:rPr>
          <w:rFonts w:ascii="Georgia" w:hAnsi="Georgia"/>
          <w:color w:val="000000" w:themeColor="text1"/>
          <w:lang w:val="en-US"/>
        </w:rPr>
        <w:t xml:space="preserve">). Knowledge and Reasoning. </w:t>
      </w:r>
      <w:r w:rsidRPr="6993879A">
        <w:rPr>
          <w:rFonts w:ascii="Georgia" w:hAnsi="Georgia"/>
          <w:i w:val="1"/>
          <w:iCs w:val="1"/>
          <w:color w:val="000000" w:themeColor="text1"/>
          <w:lang w:val="en-US"/>
        </w:rPr>
        <w:t>Synthese</w:t>
      </w:r>
      <w:r w:rsidRPr="6993879A">
        <w:rPr>
          <w:rFonts w:ascii="Georgia" w:hAnsi="Georgia"/>
          <w:color w:val="000000" w:themeColor="text1"/>
          <w:lang w:val="en-US"/>
        </w:rPr>
        <w:t xml:space="preserve"> </w:t>
      </w:r>
      <w:r w:rsidRPr="6993879A">
        <w:rPr>
          <w:rFonts w:ascii="Georgia" w:hAnsi="Georgia" w:cs="Segoe UI"/>
          <w:color w:val="000000" w:themeColor="text1"/>
          <w:lang w:val="en-US"/>
        </w:rPr>
        <w:t>199</w:t>
      </w:r>
      <w:r w:rsidRPr="6993879A">
        <w:rPr>
          <w:rFonts w:ascii="Georgia" w:hAnsi="Georgia" w:cs="Segoe UI"/>
          <w:color w:val="000000" w:themeColor="text1"/>
          <w:shd w:val="clear" w:color="auto" w:fill="FCFCFC"/>
          <w:lang w:val="en-US"/>
        </w:rPr>
        <w:t>: 10371–10388.</w:t>
      </w:r>
    </w:p>
    <w:p w:rsidR="00F8113D" w:rsidP="00353926" w:rsidRDefault="00F8113D" w14:paraId="229D68FB" w14:textId="77777777">
      <w:pPr>
        <w:jc w:val="both"/>
        <w:rPr>
          <w:rFonts w:ascii="Georgia" w:hAnsi="Georgia"/>
          <w:color w:val="000000" w:themeColor="text1"/>
        </w:rPr>
      </w:pPr>
      <w:r w:rsidRPr="0014144D">
        <w:rPr>
          <w:rFonts w:ascii="Georgia" w:hAnsi="Georgia"/>
          <w:color w:val="000000" w:themeColor="text1"/>
        </w:rPr>
        <w:t>Simion, M. (2021a). Shifty Speech and Independent Thought. Epistemic Normativity in Context. Oxford: Oxford University Press.</w:t>
      </w:r>
    </w:p>
    <w:p w:rsidRPr="0014144D" w:rsidR="00DC388B" w:rsidP="00353926" w:rsidRDefault="00DC388B" w14:paraId="69C0C948" w14:textId="4AA1B84C">
      <w:pPr>
        <w:jc w:val="both"/>
        <w:rPr>
          <w:rFonts w:ascii="Georgia" w:hAnsi="Georgia"/>
          <w:color w:val="000000" w:themeColor="text1"/>
        </w:rPr>
      </w:pPr>
      <w:r>
        <w:rPr>
          <w:rFonts w:ascii="Georgia" w:hAnsi="Georgia"/>
          <w:color w:val="000000" w:themeColor="text1"/>
        </w:rPr>
        <w:t xml:space="preserve">Simion, M. (2021c). Testimonial Contractarianism. </w:t>
      </w:r>
      <w:r w:rsidRPr="00DC388B">
        <w:rPr>
          <w:rFonts w:ascii="Georgia" w:hAnsi="Georgia"/>
          <w:i/>
          <w:iCs/>
          <w:color w:val="000000" w:themeColor="text1"/>
        </w:rPr>
        <w:t>Nous </w:t>
      </w:r>
      <w:r w:rsidRPr="00DC388B">
        <w:rPr>
          <w:rFonts w:ascii="Georgia" w:hAnsi="Georgia"/>
          <w:color w:val="000000" w:themeColor="text1"/>
        </w:rPr>
        <w:t>55/4:</w:t>
      </w:r>
      <w:r w:rsidRPr="00DC388B">
        <w:rPr>
          <w:rFonts w:ascii="Georgia" w:hAnsi="Georgia"/>
          <w:i/>
          <w:iCs/>
          <w:color w:val="000000" w:themeColor="text1"/>
        </w:rPr>
        <w:t> </w:t>
      </w:r>
      <w:r w:rsidRPr="00DC388B">
        <w:rPr>
          <w:rFonts w:ascii="Georgia" w:hAnsi="Georgia"/>
          <w:color w:val="000000" w:themeColor="text1"/>
        </w:rPr>
        <w:t>891-916.</w:t>
      </w:r>
    </w:p>
    <w:p w:rsidRPr="0014144D" w:rsidR="00F8113D" w:rsidP="00353926" w:rsidRDefault="00F8113D" w14:paraId="0BD13510" w14:textId="77777777">
      <w:pPr>
        <w:jc w:val="both"/>
        <w:rPr>
          <w:rFonts w:ascii="Georgia" w:hAnsi="Georgia"/>
          <w:color w:val="000000" w:themeColor="text1"/>
        </w:rPr>
      </w:pPr>
      <w:r w:rsidRPr="0014144D">
        <w:rPr>
          <w:rFonts w:ascii="Georgia" w:hAnsi="Georgia"/>
          <w:color w:val="000000" w:themeColor="text1"/>
        </w:rPr>
        <w:t xml:space="preserve">Simion, M. (2019c). Knowledge-First Functionalism. </w:t>
      </w:r>
      <w:r w:rsidRPr="0014144D">
        <w:rPr>
          <w:rFonts w:ascii="Georgia" w:hAnsi="Georgia"/>
          <w:i/>
          <w:color w:val="000000" w:themeColor="text1"/>
        </w:rPr>
        <w:t>Philosophical Issues</w:t>
      </w:r>
      <w:r w:rsidRPr="0014144D">
        <w:rPr>
          <w:rFonts w:ascii="Georgia" w:hAnsi="Georgia"/>
          <w:color w:val="000000" w:themeColor="text1"/>
        </w:rPr>
        <w:t>, 29: 254–267.</w:t>
      </w:r>
    </w:p>
    <w:p w:rsidRPr="0014144D" w:rsidR="00F8113D" w:rsidP="00353926" w:rsidRDefault="00F8113D" w14:paraId="73ED4C0D" w14:textId="77777777">
      <w:pPr>
        <w:jc w:val="both"/>
        <w:rPr>
          <w:rFonts w:ascii="Georgia" w:hAnsi="Georgia"/>
          <w:color w:val="000000" w:themeColor="text1"/>
        </w:rPr>
      </w:pPr>
      <w:r w:rsidRPr="0014144D">
        <w:rPr>
          <w:rFonts w:ascii="Georgia" w:hAnsi="Georgia"/>
          <w:color w:val="000000" w:themeColor="text1"/>
          <w:shd w:val="clear" w:color="auto" w:fill="FFFFFF"/>
        </w:rPr>
        <w:t>Simion, M. (2019b). Saying and Believing: The Norm Commonality Assumption. </w:t>
      </w:r>
      <w:r w:rsidRPr="0014144D">
        <w:rPr>
          <w:rFonts w:ascii="Georgia" w:hAnsi="Georgia"/>
          <w:i/>
          <w:iCs/>
          <w:color w:val="000000" w:themeColor="text1"/>
          <w:shd w:val="clear" w:color="auto" w:fill="FFFFFF"/>
        </w:rPr>
        <w:t>Philosophical Studies</w:t>
      </w:r>
      <w:r w:rsidRPr="0014144D">
        <w:rPr>
          <w:rFonts w:ascii="Georgia" w:hAnsi="Georgia"/>
          <w:color w:val="000000" w:themeColor="text1"/>
          <w:shd w:val="clear" w:color="auto" w:fill="FFFFFF"/>
        </w:rPr>
        <w:t xml:space="preserve"> 176:  1951–1966.</w:t>
      </w:r>
    </w:p>
    <w:p w:rsidRPr="0014144D" w:rsidR="00F8113D" w:rsidP="00353926" w:rsidRDefault="00F8113D" w14:paraId="718B7320" w14:textId="77777777">
      <w:pPr>
        <w:jc w:val="both"/>
        <w:rPr>
          <w:rFonts w:ascii="Georgia" w:hAnsi="Georgia"/>
          <w:color w:val="000000" w:themeColor="text1"/>
        </w:rPr>
      </w:pPr>
      <w:r w:rsidRPr="0014144D">
        <w:rPr>
          <w:rFonts w:ascii="Georgia" w:hAnsi="Georgia"/>
          <w:color w:val="000000" w:themeColor="text1"/>
        </w:rPr>
        <w:t xml:space="preserve">Simion, M. (2019a). Hermeneutical Injustice as Basing Failure. In </w:t>
      </w:r>
      <w:r w:rsidRPr="0014144D">
        <w:rPr>
          <w:rFonts w:ascii="Georgia" w:hAnsi="Georgia"/>
          <w:i/>
          <w:color w:val="000000" w:themeColor="text1"/>
        </w:rPr>
        <w:t xml:space="preserve">Well Founded Belief: New Essays on the Epistemic Basing Relation, </w:t>
      </w:r>
      <w:r w:rsidRPr="0014144D">
        <w:rPr>
          <w:rFonts w:ascii="Georgia" w:hAnsi="Georgia"/>
          <w:color w:val="000000" w:themeColor="text1"/>
        </w:rPr>
        <w:t>Pat Bondy and J. Adam Carter (eds.), Routledge.</w:t>
      </w:r>
    </w:p>
    <w:p w:rsidRPr="0014144D" w:rsidR="00F8113D" w:rsidP="00353926" w:rsidRDefault="00F8113D" w14:paraId="0DCC7BC1" w14:textId="77777777">
      <w:pPr>
        <w:jc w:val="both"/>
        <w:rPr>
          <w:rFonts w:ascii="Georgia" w:hAnsi="Georgia"/>
          <w:color w:val="000000" w:themeColor="text1"/>
        </w:rPr>
      </w:pPr>
      <w:r w:rsidRPr="0014144D">
        <w:rPr>
          <w:rFonts w:ascii="Georgia" w:hAnsi="Georgia"/>
          <w:color w:val="000000" w:themeColor="text1"/>
        </w:rPr>
        <w:t xml:space="preserve">Simion, M. (2018). The Explanation Proffering Norm of Moral Assertion. </w:t>
      </w:r>
      <w:r w:rsidRPr="0014144D">
        <w:rPr>
          <w:rFonts w:ascii="Georgia" w:hAnsi="Georgia"/>
          <w:i/>
          <w:iCs/>
          <w:color w:val="000000" w:themeColor="text1"/>
        </w:rPr>
        <w:t>Ethical Theory and Moral Practice</w:t>
      </w:r>
      <w:r w:rsidRPr="0014144D">
        <w:rPr>
          <w:rFonts w:ascii="Georgia" w:hAnsi="Georgia"/>
          <w:color w:val="000000" w:themeColor="text1"/>
        </w:rPr>
        <w:t xml:space="preserve"> 21 (3), 477-488.</w:t>
      </w:r>
    </w:p>
    <w:p w:rsidRPr="0014144D" w:rsidR="00F8113D" w:rsidP="6993879A" w:rsidRDefault="00F8113D" w14:paraId="78B44897" w14:textId="77777777">
      <w:pPr>
        <w:jc w:val="both"/>
        <w:rPr>
          <w:rFonts w:ascii="Georgia" w:hAnsi="Georgia" w:cs="Times"/>
          <w:color w:val="000000" w:themeColor="text1"/>
          <w:lang w:val="en-US"/>
        </w:rPr>
      </w:pPr>
      <w:r w:rsidRPr="6993879A" w:rsidR="6993879A">
        <w:rPr>
          <w:rFonts w:ascii="Georgia" w:hAnsi="Georgia"/>
          <w:color w:val="000000" w:themeColor="text1" w:themeTint="FF" w:themeShade="FF"/>
          <w:lang w:val="en-US"/>
        </w:rPr>
        <w:t xml:space="preserve">Simion, M. (2016). Perception, History and Benefit. </w:t>
      </w:r>
      <w:r w:rsidRPr="6993879A" w:rsidR="6993879A">
        <w:rPr>
          <w:rFonts w:ascii="Georgia" w:hAnsi="Georgia"/>
          <w:i w:val="1"/>
          <w:iCs w:val="1"/>
          <w:color w:val="000000" w:themeColor="text1" w:themeTint="FF" w:themeShade="FF"/>
          <w:lang w:val="en-US"/>
        </w:rPr>
        <w:t>Episteme</w:t>
      </w:r>
      <w:r w:rsidRPr="6993879A" w:rsidR="6993879A">
        <w:rPr>
          <w:rFonts w:ascii="Georgia" w:hAnsi="Georgia" w:cs="Times"/>
          <w:i w:val="1"/>
          <w:iCs w:val="1"/>
          <w:color w:val="000000" w:themeColor="text1" w:themeTint="FF" w:themeShade="FF"/>
          <w:lang w:val="en-US"/>
        </w:rPr>
        <w:t xml:space="preserve">, </w:t>
      </w:r>
      <w:r w:rsidRPr="6993879A" w:rsidR="6993879A">
        <w:rPr>
          <w:rFonts w:ascii="Georgia" w:hAnsi="Georgia" w:cs="Times"/>
          <w:color w:val="000000" w:themeColor="text1" w:themeTint="FF" w:themeShade="FF"/>
          <w:lang w:val="en-US"/>
        </w:rPr>
        <w:t>13</w:t>
      </w:r>
      <w:r w:rsidRPr="6993879A" w:rsidR="6993879A">
        <w:rPr>
          <w:rFonts w:ascii="Georgia" w:hAnsi="Georgia" w:cs="Times"/>
          <w:color w:val="000000" w:themeColor="text1" w:themeTint="FF" w:themeShade="FF"/>
          <w:lang w:val="en-US"/>
        </w:rPr>
        <w:t>: 61–76.</w:t>
      </w:r>
    </w:p>
    <w:p w:rsidRPr="0014144D" w:rsidR="00F8113D" w:rsidP="00353926" w:rsidRDefault="00F8113D" w14:paraId="5913A52E" w14:textId="77777777">
      <w:pPr>
        <w:jc w:val="both"/>
        <w:rPr>
          <w:rFonts w:ascii="Georgia" w:hAnsi="Georgia"/>
          <w:color w:val="000000" w:themeColor="text1"/>
        </w:rPr>
      </w:pPr>
      <w:r w:rsidRPr="0014144D">
        <w:rPr>
          <w:rFonts w:ascii="Georgia" w:hAnsi="Georgia"/>
          <w:color w:val="000000" w:themeColor="text1"/>
        </w:rPr>
        <w:t xml:space="preserve">Simion, M., and Kelp, C. (2018a). The Constitutive Norm View of Assertion (with Chris Kelp). In </w:t>
      </w:r>
      <w:r w:rsidRPr="0014144D">
        <w:rPr>
          <w:rFonts w:ascii="Georgia" w:hAnsi="Georgia"/>
          <w:i/>
          <w:color w:val="000000" w:themeColor="text1"/>
        </w:rPr>
        <w:t xml:space="preserve">Oxford Handbook of Assertion </w:t>
      </w:r>
      <w:r w:rsidRPr="0014144D">
        <w:rPr>
          <w:rFonts w:ascii="Georgia" w:hAnsi="Georgia"/>
          <w:color w:val="000000" w:themeColor="text1"/>
        </w:rPr>
        <w:t xml:space="preserve">(Sanford Goldberg, ed.), Oxford University Press. </w:t>
      </w:r>
    </w:p>
    <w:p w:rsidRPr="0014144D" w:rsidR="00E015BD" w:rsidP="6993879A" w:rsidRDefault="00F8113D" w14:paraId="0A35FB0E" w14:textId="77777777">
      <w:pPr>
        <w:jc w:val="both"/>
        <w:rPr>
          <w:rFonts w:ascii="Georgia" w:hAnsi="Georgia"/>
          <w:color w:val="000000" w:themeColor="text1"/>
          <w:shd w:val="clear" w:color="auto" w:fill="FFFFFF"/>
          <w:lang w:val="en-US"/>
        </w:rPr>
      </w:pPr>
      <w:r w:rsidRPr="6993879A">
        <w:rPr>
          <w:rFonts w:ascii="Georgia" w:hAnsi="Georgia"/>
          <w:color w:val="000000" w:themeColor="text1"/>
          <w:shd w:val="clear" w:color="auto" w:fill="FFFFFF"/>
          <w:lang w:val="en-US"/>
        </w:rPr>
        <w:t>Simion, M. and Kelp, C. (2018b). How to Be an Anti-Reductionist. </w:t>
      </w:r>
      <w:r w:rsidRPr="6993879A">
        <w:rPr>
          <w:rFonts w:ascii="Georgia" w:hAnsi="Georgia"/>
          <w:i w:val="1"/>
          <w:iCs w:val="1"/>
          <w:color w:val="000000" w:themeColor="text1"/>
          <w:shd w:val="clear" w:color="auto" w:fill="FFFFFF"/>
          <w:lang w:val="en-US"/>
        </w:rPr>
        <w:t>Synthese.</w:t>
      </w:r>
      <w:r w:rsidRPr="6993879A">
        <w:rPr>
          <w:rFonts w:ascii="Georgia" w:hAnsi="Georgia"/>
          <w:color w:val="000000" w:themeColor="text1"/>
          <w:shd w:val="clear" w:color="auto" w:fill="FFFFFF"/>
          <w:lang w:val="en-US"/>
        </w:rPr>
        <w:t xml:space="preserve"> Online First.</w:t>
      </w:r>
    </w:p>
    <w:p w:rsidRPr="0014144D" w:rsidR="00E015BD" w:rsidP="00353926" w:rsidRDefault="00E015BD" w14:paraId="5D806C9E" w14:textId="55BAF75E">
      <w:pPr>
        <w:jc w:val="both"/>
        <w:rPr>
          <w:rFonts w:ascii="Georgia" w:hAnsi="Georgia"/>
          <w:color w:val="000000" w:themeColor="text1"/>
          <w:shd w:val="clear" w:color="auto" w:fill="FFFFFF"/>
        </w:rPr>
      </w:pPr>
      <w:r w:rsidRPr="0014144D">
        <w:rPr>
          <w:rFonts w:ascii="Georgia" w:hAnsi="Georgia"/>
          <w:color w:val="000000" w:themeColor="text1"/>
          <w:lang w:val="en-GB"/>
        </w:rPr>
        <w:t>Swords B, Sheni R. Systemic change required. Black lived reality: why we need systemic change. 26 Sep 2022. </w:t>
      </w:r>
      <w:hyperlink w:history="1" r:id="rId14">
        <w:r w:rsidRPr="0014144D">
          <w:rPr>
            <w:rStyle w:val="Hyperlink"/>
            <w:rFonts w:ascii="Georgia" w:hAnsi="Georgia"/>
            <w:lang w:val="en-GB"/>
          </w:rPr>
          <w:t>https://blackequityorg.com/state-of-black-britain-report/</w:t>
        </w:r>
      </w:hyperlink>
    </w:p>
    <w:p w:rsidRPr="0014144D" w:rsidR="00ED51F0" w:rsidP="00353926" w:rsidRDefault="00ED51F0" w14:paraId="334F531D" w14:textId="77777777">
      <w:pPr>
        <w:widowControl w:val="0"/>
        <w:autoSpaceDE w:val="0"/>
        <w:autoSpaceDN w:val="0"/>
        <w:adjustRightInd w:val="0"/>
        <w:jc w:val="both"/>
        <w:rPr>
          <w:rFonts w:ascii="Georgia" w:hAnsi="Georgia"/>
        </w:rPr>
      </w:pPr>
      <w:r w:rsidRPr="0014144D">
        <w:rPr>
          <w:rFonts w:ascii="Georgia" w:hAnsi="Georgia"/>
        </w:rPr>
        <w:t xml:space="preserve">Taber, Charles S., and Milton Lodge. (2006). “Motivated Skepticism in the Evaluation of </w:t>
      </w:r>
    </w:p>
    <w:p w:rsidRPr="0014144D" w:rsidR="00ED51F0" w:rsidP="00353926" w:rsidRDefault="00ED51F0" w14:paraId="0534563B" w14:textId="77777777">
      <w:pPr>
        <w:widowControl w:val="0"/>
        <w:autoSpaceDE w:val="0"/>
        <w:autoSpaceDN w:val="0"/>
        <w:adjustRightInd w:val="0"/>
        <w:jc w:val="both"/>
        <w:rPr>
          <w:rFonts w:ascii="Georgia" w:hAnsi="Georgia"/>
        </w:rPr>
      </w:pPr>
      <w:r w:rsidRPr="0014144D">
        <w:rPr>
          <w:rFonts w:ascii="Georgia" w:hAnsi="Georgia"/>
        </w:rPr>
        <w:t xml:space="preserve">Political Beliefs.” </w:t>
      </w:r>
      <w:r w:rsidRPr="0014144D">
        <w:rPr>
          <w:rFonts w:ascii="Georgia" w:hAnsi="Georgia"/>
          <w:i/>
          <w:iCs/>
        </w:rPr>
        <w:t xml:space="preserve">American Journal of Political Science </w:t>
      </w:r>
      <w:r w:rsidRPr="0014144D">
        <w:rPr>
          <w:rFonts w:ascii="Georgia" w:hAnsi="Georgia"/>
        </w:rPr>
        <w:t>50 (3): 755–69.</w:t>
      </w:r>
    </w:p>
    <w:p w:rsidRPr="0014144D" w:rsidR="00F8113D" w:rsidP="00353926" w:rsidRDefault="00C71CD2" w14:paraId="1F5BC083" w14:textId="16CF8C8A">
      <w:pPr>
        <w:pStyle w:val="Normal1"/>
        <w:jc w:val="both"/>
        <w:rPr>
          <w:rFonts w:ascii="Georgia" w:hAnsi="Georgia" w:eastAsia="Garamond" w:cs="Garamond"/>
          <w:color w:val="000000" w:themeColor="text1"/>
        </w:rPr>
      </w:pPr>
      <w:r w:rsidRPr="0014144D">
        <w:rPr>
          <w:rFonts w:ascii="Georgia" w:hAnsi="Georgia" w:eastAsia="Garamond" w:cs="Garamond"/>
          <w:color w:val="000000" w:themeColor="text1"/>
        </w:rPr>
        <w:t>Talisse, R. (2019). Overdoing Democracy. Oxford: Oxford University Press.</w:t>
      </w:r>
    </w:p>
    <w:p w:rsidRPr="0014144D" w:rsidR="000C7706" w:rsidP="00353926" w:rsidRDefault="000C7706" w14:paraId="0D3F59F4" w14:textId="77777777">
      <w:pPr>
        <w:jc w:val="both"/>
        <w:rPr>
          <w:rFonts w:ascii="Georgia" w:hAnsi="Georgia"/>
          <w:color w:val="000000" w:themeColor="text1"/>
        </w:rPr>
      </w:pPr>
      <w:r w:rsidRPr="0014144D">
        <w:rPr>
          <w:rFonts w:ascii="Georgia" w:hAnsi="Georgia"/>
          <w:color w:val="000000" w:themeColor="text1"/>
        </w:rPr>
        <w:t xml:space="preserve">United Nations. (2023). </w:t>
      </w:r>
      <w:r w:rsidRPr="0014144D">
        <w:rPr>
          <w:rFonts w:ascii="Georgia" w:hAnsi="Georgia"/>
          <w:i/>
          <w:iCs/>
          <w:color w:val="000000" w:themeColor="text1"/>
        </w:rPr>
        <w:t>Policy Brief: Information Integrity on Digital Platforms.</w:t>
      </w:r>
      <w:r w:rsidRPr="0014144D">
        <w:rPr>
          <w:rFonts w:ascii="Georgia" w:hAnsi="Georgia"/>
          <w:color w:val="000000" w:themeColor="text1"/>
        </w:rPr>
        <w:t xml:space="preserve"> </w:t>
      </w:r>
      <w:hyperlink w:history="1" r:id="rId15">
        <w:r w:rsidRPr="0014144D">
          <w:rPr>
            <w:rStyle w:val="Hyperlink"/>
            <w:rFonts w:ascii="Georgia" w:hAnsi="Georgia"/>
            <w:color w:val="000000" w:themeColor="text1"/>
          </w:rPr>
          <w:t>https://www.un.org/sites/un2.un.org/files/our-common-agenda-policy-brief-information-integrity-en.pdf</w:t>
        </w:r>
      </w:hyperlink>
    </w:p>
    <w:p w:rsidRPr="00AF3C8C" w:rsidR="00AF3C8C" w:rsidP="00353926" w:rsidRDefault="00AF3C8C" w14:paraId="312694A3" w14:textId="77777777">
      <w:pPr>
        <w:jc w:val="both"/>
        <w:rPr>
          <w:rFonts w:ascii="Georgia" w:hAnsi="Georgia" w:eastAsia="Times New Roman"/>
          <w:color w:val="000000" w:themeColor="text1"/>
          <w:lang w:val="en-GB" w:eastAsia="en-GB"/>
        </w:rPr>
      </w:pPr>
      <w:r w:rsidRPr="00AF3C8C">
        <w:rPr>
          <w:rFonts w:ascii="Georgia" w:hAnsi="Georgia" w:eastAsia="Times New Roman"/>
          <w:color w:val="000000" w:themeColor="text1"/>
          <w:lang w:val="en-GB" w:eastAsia="en-GB"/>
        </w:rPr>
        <w:t>World Health Organization. (2024). Infodemic. </w:t>
      </w:r>
      <w:hyperlink w:tgtFrame="_blank" w:history="1" w:anchor="tab=tab_1" r:id="rId16">
        <w:r w:rsidRPr="00AF3C8C">
          <w:rPr>
            <w:rStyle w:val="Hyperlink"/>
            <w:rFonts w:ascii="Georgia" w:hAnsi="Georgia" w:eastAsia="Times New Roman"/>
            <w:lang w:val="en-GB" w:eastAsia="en-GB"/>
          </w:rPr>
          <w:t>https://www.who.int/health-topics/infodemic#tab=tab_1</w:t>
        </w:r>
      </w:hyperlink>
    </w:p>
    <w:p w:rsidRPr="0014144D" w:rsidR="00F8113D" w:rsidP="00353926" w:rsidRDefault="00F8113D" w14:paraId="5280DB4C" w14:textId="77777777">
      <w:pPr>
        <w:jc w:val="both"/>
        <w:rPr>
          <w:rFonts w:ascii="Georgia" w:hAnsi="Georgia"/>
          <w:color w:val="000000" w:themeColor="text1"/>
        </w:rPr>
      </w:pPr>
      <w:r w:rsidRPr="0014144D">
        <w:rPr>
          <w:rFonts w:ascii="Georgia" w:hAnsi="Georgia"/>
          <w:color w:val="000000" w:themeColor="text1"/>
        </w:rPr>
        <w:t xml:space="preserve">Williamson, T. (2000). </w:t>
      </w:r>
      <w:r w:rsidRPr="0014144D">
        <w:rPr>
          <w:rFonts w:ascii="Georgia" w:hAnsi="Georgia"/>
          <w:i/>
          <w:iCs/>
          <w:color w:val="000000" w:themeColor="text1"/>
        </w:rPr>
        <w:t>Knowledge and Its Limits</w:t>
      </w:r>
      <w:r w:rsidRPr="0014144D">
        <w:rPr>
          <w:rFonts w:ascii="Georgia" w:hAnsi="Georgia"/>
          <w:color w:val="000000" w:themeColor="text1"/>
        </w:rPr>
        <w:t>. Oxford University Press.</w:t>
      </w:r>
    </w:p>
    <w:p w:rsidRPr="0014144D" w:rsidR="00ED51F0" w:rsidP="00353926" w:rsidRDefault="00ED51F0" w14:paraId="48989ACF" w14:textId="6EC221DC">
      <w:pPr>
        <w:widowControl w:val="0"/>
        <w:autoSpaceDE w:val="0"/>
        <w:autoSpaceDN w:val="0"/>
        <w:adjustRightInd w:val="0"/>
        <w:jc w:val="both"/>
        <w:rPr>
          <w:rFonts w:ascii="Georgia" w:hAnsi="Georgia"/>
          <w:lang w:val="en-US"/>
        </w:rPr>
      </w:pPr>
      <w:proofErr w:type="spellStart"/>
      <w:r w:rsidRPr="0014144D">
        <w:rPr>
          <w:rFonts w:ascii="Georgia" w:hAnsi="Georgia"/>
          <w:lang w:val="en-US"/>
        </w:rPr>
        <w:t>Zagzebski</w:t>
      </w:r>
      <w:proofErr w:type="spellEnd"/>
      <w:r w:rsidRPr="0014144D">
        <w:rPr>
          <w:rFonts w:ascii="Georgia" w:hAnsi="Georgia"/>
          <w:lang w:val="en-US"/>
        </w:rPr>
        <w:t xml:space="preserve">, L. 2012: </w:t>
      </w:r>
      <w:r w:rsidRPr="0014144D">
        <w:rPr>
          <w:rFonts w:ascii="Georgia" w:hAnsi="Georgia"/>
          <w:i/>
          <w:lang w:val="en-US"/>
        </w:rPr>
        <w:t>Epistemic Authority: A Theory of Trust, Authority, and Autonomy in Belief</w:t>
      </w:r>
      <w:r w:rsidRPr="0014144D">
        <w:rPr>
          <w:rFonts w:ascii="Georgia" w:hAnsi="Georgia"/>
          <w:lang w:val="en-US"/>
        </w:rPr>
        <w:t>, O</w:t>
      </w:r>
      <w:r w:rsidRPr="0014144D" w:rsidR="00AE5090">
        <w:rPr>
          <w:rFonts w:ascii="Georgia" w:hAnsi="Georgia"/>
          <w:lang w:val="en-US"/>
        </w:rPr>
        <w:t>xford: Oxford University Press</w:t>
      </w:r>
      <w:r w:rsidRPr="0014144D">
        <w:rPr>
          <w:rFonts w:ascii="Georgia" w:hAnsi="Georgia"/>
          <w:lang w:val="en-US"/>
        </w:rPr>
        <w:t>.</w:t>
      </w:r>
    </w:p>
    <w:p w:rsidR="00F8113D" w:rsidP="00353926" w:rsidRDefault="00F8113D" w14:paraId="6F8EC0A1" w14:textId="77777777">
      <w:pPr>
        <w:jc w:val="both"/>
        <w:rPr>
          <w:rFonts w:ascii="Georgia" w:hAnsi="Georgia"/>
          <w:color w:val="000000" w:themeColor="text1"/>
        </w:rPr>
      </w:pPr>
    </w:p>
    <w:p w:rsidR="002158A2" w:rsidP="00353926" w:rsidRDefault="002158A2" w14:paraId="15787BD8" w14:textId="77777777">
      <w:pPr>
        <w:jc w:val="both"/>
        <w:rPr>
          <w:rFonts w:ascii="Georgia" w:hAnsi="Georgia"/>
          <w:color w:val="000000" w:themeColor="text1"/>
        </w:rPr>
      </w:pPr>
    </w:p>
    <w:p w:rsidRPr="002158A2" w:rsidR="002158A2" w:rsidP="00353926" w:rsidRDefault="002158A2" w14:paraId="0573FD50" w14:textId="47DC3536">
      <w:pPr>
        <w:jc w:val="both"/>
        <w:rPr>
          <w:rFonts w:ascii="Georgia" w:hAnsi="Georgia"/>
          <w:b/>
          <w:bCs/>
          <w:color w:val="000000" w:themeColor="text1"/>
        </w:rPr>
      </w:pPr>
      <w:r w:rsidRPr="002158A2">
        <w:rPr>
          <w:rFonts w:ascii="Georgia" w:hAnsi="Georgia"/>
          <w:b/>
          <w:bCs/>
          <w:color w:val="000000" w:themeColor="text1"/>
        </w:rPr>
        <w:t>Endnotes</w:t>
      </w:r>
    </w:p>
    <w:sectPr w:rsidRPr="002158A2" w:rsidR="002158A2">
      <w:footerReference w:type="even" r:id="rId17"/>
      <w:footerReference w:type="default" r:id="rId18"/>
      <w:pgSz w:w="11909" w:h="16834" w:orient="portrait"/>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07996" w:rsidP="003D5829" w:rsidRDefault="00207996" w14:paraId="7D29BFEF" w14:textId="77777777">
      <w:pPr>
        <w:spacing w:line="240" w:lineRule="auto"/>
      </w:pPr>
      <w:r>
        <w:separator/>
      </w:r>
    </w:p>
  </w:endnote>
  <w:endnote w:type="continuationSeparator" w:id="0">
    <w:p w:rsidR="00207996" w:rsidP="003D5829" w:rsidRDefault="00207996" w14:paraId="51EA95B0" w14:textId="77777777">
      <w:pPr>
        <w:spacing w:line="240" w:lineRule="auto"/>
      </w:pPr>
      <w:r>
        <w:continuationSeparator/>
      </w:r>
    </w:p>
  </w:endnote>
  <w:endnote w:id="1">
    <w:p w:rsidRPr="00870CF1" w:rsidR="002158A2" w:rsidP="00027BA3" w:rsidRDefault="002158A2" w14:paraId="585AAA1C" w14:textId="39ACC24B">
      <w:pPr>
        <w:spacing w:line="240" w:lineRule="auto"/>
        <w:jc w:val="both"/>
        <w:rPr>
          <w:rFonts w:ascii="Georgia" w:hAnsi="Georgia" w:eastAsia="Times New Roman"/>
          <w:color w:val="000000" w:themeColor="text1"/>
          <w:sz w:val="18"/>
          <w:szCs w:val="18"/>
          <w:lang w:val="en-GB" w:eastAsia="en-GB"/>
        </w:rPr>
      </w:pPr>
      <w:r w:rsidRPr="00870CF1">
        <w:rPr>
          <w:rStyle w:val="EndnoteReference"/>
          <w:rFonts w:ascii="Georgia" w:hAnsi="Georgia"/>
          <w:sz w:val="18"/>
          <w:szCs w:val="18"/>
        </w:rPr>
        <w:endnoteRef/>
      </w:r>
      <w:r w:rsidRPr="00870CF1">
        <w:rPr>
          <w:rFonts w:ascii="Georgia" w:hAnsi="Georgia"/>
          <w:sz w:val="18"/>
          <w:szCs w:val="18"/>
        </w:rPr>
        <w:t xml:space="preserve"> </w:t>
      </w:r>
      <w:r w:rsidRPr="00AF3C8C">
        <w:rPr>
          <w:rFonts w:ascii="Georgia" w:hAnsi="Georgia" w:eastAsia="Times New Roman"/>
          <w:color w:val="000000" w:themeColor="text1"/>
          <w:sz w:val="18"/>
          <w:szCs w:val="18"/>
          <w:lang w:val="en-GB" w:eastAsia="en-GB"/>
        </w:rPr>
        <w:t>United Nations. (2023). Our Common Agenda: Policy Brief 8 Information Integrity on Digital Platforms. </w:t>
      </w:r>
      <w:hyperlink w:tgtFrame="_blank" w:history="1" r:id="rId1">
        <w:r w:rsidRPr="00AF3C8C">
          <w:rPr>
            <w:rStyle w:val="Hyperlink"/>
            <w:rFonts w:ascii="Georgia" w:hAnsi="Georgia" w:eastAsia="Times New Roman"/>
            <w:sz w:val="18"/>
            <w:szCs w:val="18"/>
            <w:lang w:val="en-GB" w:eastAsia="en-GB"/>
          </w:rPr>
          <w:t>https://www.un.org/sites/un2.un.org/files/our-common-agenda-policy-brief-information-integrity-en.pdf</w:t>
        </w:r>
      </w:hyperlink>
    </w:p>
  </w:endnote>
  <w:endnote w:id="2">
    <w:p w:rsidRPr="00870CF1" w:rsidR="002158A2" w:rsidP="00027BA3" w:rsidRDefault="002158A2" w14:paraId="77F0815A" w14:textId="08E23803">
      <w:pPr>
        <w:spacing w:line="240" w:lineRule="auto"/>
        <w:jc w:val="both"/>
        <w:rPr>
          <w:rFonts w:ascii="Georgia" w:hAnsi="Georgia" w:eastAsia="Times New Roman"/>
          <w:color w:val="000000" w:themeColor="text1"/>
          <w:sz w:val="18"/>
          <w:szCs w:val="18"/>
          <w:lang w:val="en-GB" w:eastAsia="en-GB"/>
        </w:rPr>
      </w:pPr>
      <w:r w:rsidRPr="00870CF1">
        <w:rPr>
          <w:rStyle w:val="EndnoteReference"/>
          <w:rFonts w:ascii="Georgia" w:hAnsi="Georgia"/>
          <w:sz w:val="18"/>
          <w:szCs w:val="18"/>
        </w:rPr>
        <w:endnoteRef/>
      </w:r>
      <w:r w:rsidRPr="00870CF1">
        <w:rPr>
          <w:rFonts w:ascii="Georgia" w:hAnsi="Georgia"/>
          <w:sz w:val="18"/>
          <w:szCs w:val="18"/>
        </w:rPr>
        <w:t xml:space="preserve"> </w:t>
      </w:r>
      <w:r w:rsidRPr="00AF3C8C">
        <w:rPr>
          <w:rFonts w:ascii="Georgia" w:hAnsi="Georgia" w:eastAsia="Times New Roman"/>
          <w:color w:val="000000" w:themeColor="text1"/>
          <w:sz w:val="18"/>
          <w:szCs w:val="18"/>
          <w:lang w:val="en-GB" w:eastAsia="en-GB"/>
        </w:rPr>
        <w:t>World Health Organization. (2024). Infodemic. </w:t>
      </w:r>
      <w:hyperlink w:tgtFrame="_blank" w:history="1" w:anchor="tab=tab_1" r:id="rId2">
        <w:r w:rsidRPr="00AF3C8C">
          <w:rPr>
            <w:rStyle w:val="Hyperlink"/>
            <w:rFonts w:ascii="Georgia" w:hAnsi="Georgia" w:eastAsia="Times New Roman"/>
            <w:sz w:val="18"/>
            <w:szCs w:val="18"/>
            <w:lang w:val="en-GB" w:eastAsia="en-GB"/>
          </w:rPr>
          <w:t>https://www.who.int/health-topics/infodemic#tab=tab_1</w:t>
        </w:r>
      </w:hyperlink>
    </w:p>
  </w:endnote>
  <w:endnote w:id="3">
    <w:p w:rsidRPr="00870CF1" w:rsidR="002158A2" w:rsidP="00027BA3" w:rsidRDefault="002158A2" w14:paraId="4293673F" w14:textId="77777777">
      <w:pPr>
        <w:spacing w:line="240" w:lineRule="auto"/>
        <w:jc w:val="both"/>
        <w:rPr>
          <w:rFonts w:ascii="Georgia" w:hAnsi="Georgia"/>
          <w:sz w:val="18"/>
          <w:szCs w:val="18"/>
          <w:bdr w:val="none" w:color="auto" w:sz="0" w:space="0" w:frame="1"/>
        </w:rPr>
      </w:pPr>
      <w:r w:rsidRPr="00870CF1">
        <w:rPr>
          <w:rStyle w:val="EndnoteReference"/>
          <w:rFonts w:ascii="Georgia" w:hAnsi="Georgia"/>
          <w:sz w:val="18"/>
          <w:szCs w:val="18"/>
        </w:rPr>
        <w:endnoteRef/>
      </w:r>
      <w:r w:rsidRPr="00870CF1">
        <w:rPr>
          <w:rFonts w:ascii="Georgia" w:hAnsi="Georgia"/>
          <w:sz w:val="18"/>
          <w:szCs w:val="18"/>
        </w:rPr>
        <w:t xml:space="preserve"> </w:t>
      </w:r>
      <w:r w:rsidRPr="002978BC">
        <w:rPr>
          <w:rFonts w:ascii="Georgia" w:hAnsi="Georgia"/>
          <w:sz w:val="18"/>
          <w:szCs w:val="18"/>
          <w:bdr w:val="none" w:color="auto" w:sz="0" w:space="0" w:frame="1"/>
          <w:lang w:val="en-GB"/>
        </w:rPr>
        <w:t>Organisation for Economic Co-operation and Development. (2024). OECD Survey on Drivers of Trust in Public Institutions – 2024 Results. </w:t>
      </w:r>
      <w:hyperlink w:tgtFrame="_blank" w:history="1" r:id="rId3">
        <w:r w:rsidRPr="002978BC">
          <w:rPr>
            <w:rStyle w:val="Hyperlink"/>
            <w:rFonts w:ascii="Georgia" w:hAnsi="Georgia"/>
            <w:sz w:val="18"/>
            <w:szCs w:val="18"/>
            <w:bdr w:val="none" w:color="auto" w:sz="0" w:space="0" w:frame="1"/>
            <w:lang w:val="en-GB"/>
          </w:rPr>
          <w:t>https://www.oecd.org/en/topics/sub-issues/trust-in-government.html</w:t>
        </w:r>
      </w:hyperlink>
    </w:p>
    <w:p w:rsidRPr="00870CF1" w:rsidR="002158A2" w:rsidP="00027BA3" w:rsidRDefault="002158A2" w14:paraId="46284F37" w14:textId="06BE4354">
      <w:pPr>
        <w:spacing w:line="240" w:lineRule="auto"/>
        <w:jc w:val="both"/>
        <w:rPr>
          <w:rFonts w:ascii="Georgia" w:hAnsi="Georgia"/>
          <w:color w:val="000000" w:themeColor="text1"/>
          <w:sz w:val="18"/>
          <w:szCs w:val="18"/>
        </w:rPr>
      </w:pPr>
      <w:r w:rsidRPr="00870CF1">
        <w:rPr>
          <w:rFonts w:ascii="Georgia" w:hAnsi="Georgia"/>
          <w:color w:val="000000" w:themeColor="text1"/>
          <w:sz w:val="18"/>
          <w:szCs w:val="18"/>
        </w:rPr>
        <w:t>Pew Research Center(2022)</w:t>
      </w:r>
      <w:hyperlink w:history="1" r:id="rId4">
        <w:r w:rsidRPr="00870CF1">
          <w:rPr>
            <w:rStyle w:val="Hyperlink"/>
            <w:rFonts w:ascii="Georgia" w:hAnsi="Georgia"/>
            <w:color w:val="000000" w:themeColor="text1"/>
            <w:sz w:val="18"/>
            <w:szCs w:val="18"/>
          </w:rPr>
          <w:t>https://www.pewresearch.org/science/2022/02/15/americans-trust-in-scientists-other-groups-declines/</w:t>
        </w:r>
      </w:hyperlink>
      <w:r w:rsidRPr="00870CF1">
        <w:rPr>
          <w:rFonts w:ascii="Georgia" w:hAnsi="Georgia"/>
          <w:color w:val="000000" w:themeColor="text1"/>
          <w:sz w:val="18"/>
          <w:szCs w:val="18"/>
        </w:rPr>
        <w:t xml:space="preserve"> </w:t>
      </w:r>
    </w:p>
  </w:endnote>
  <w:endnote w:id="4">
    <w:p w:rsidRPr="00870CF1" w:rsidR="002158A2" w:rsidP="00027BA3" w:rsidRDefault="002158A2" w14:paraId="2F10DCAF" w14:textId="531A4B5C">
      <w:pPr>
        <w:pStyle w:val="EndnoteText"/>
        <w:jc w:val="both"/>
        <w:rPr>
          <w:rFonts w:ascii="Georgia" w:hAnsi="Georgia"/>
          <w:sz w:val="18"/>
          <w:szCs w:val="18"/>
          <w:lang w:val="en-GB"/>
        </w:rPr>
      </w:pPr>
      <w:r w:rsidRPr="00870CF1">
        <w:rPr>
          <w:rStyle w:val="EndnoteReference"/>
          <w:rFonts w:ascii="Georgia" w:hAnsi="Georgia"/>
          <w:sz w:val="18"/>
          <w:szCs w:val="18"/>
        </w:rPr>
        <w:endnoteRef/>
      </w:r>
      <w:r w:rsidRPr="00870CF1">
        <w:rPr>
          <w:rFonts w:ascii="Georgia" w:hAnsi="Georgia"/>
          <w:sz w:val="18"/>
          <w:szCs w:val="18"/>
        </w:rPr>
        <w:t xml:space="preserve"> </w:t>
      </w:r>
      <w:r w:rsidRPr="00870CF1">
        <w:rPr>
          <w:rFonts w:ascii="Georgia" w:hAnsi="Georgia"/>
          <w:sz w:val="18"/>
          <w:szCs w:val="18"/>
          <w:lang w:val="en-GB"/>
        </w:rPr>
        <w:t>See Williamson 2000, Simion 2024.</w:t>
      </w:r>
    </w:p>
  </w:endnote>
  <w:endnote w:id="5">
    <w:p w:rsidRPr="00870CF1" w:rsidR="002158A2" w:rsidP="00027BA3" w:rsidRDefault="002158A2" w14:paraId="40A31E9B" w14:textId="1634B7BD">
      <w:pPr>
        <w:pStyle w:val="EndnoteText"/>
        <w:jc w:val="both"/>
        <w:rPr>
          <w:rFonts w:ascii="Georgia" w:hAnsi="Georgia"/>
          <w:sz w:val="18"/>
          <w:szCs w:val="18"/>
          <w:lang w:val="en-GB"/>
        </w:rPr>
      </w:pPr>
      <w:r w:rsidRPr="00870CF1">
        <w:rPr>
          <w:rStyle w:val="EndnoteReference"/>
          <w:rFonts w:ascii="Georgia" w:hAnsi="Georgia"/>
          <w:sz w:val="18"/>
          <w:szCs w:val="18"/>
        </w:rPr>
        <w:endnoteRef/>
      </w:r>
      <w:r w:rsidRPr="00870CF1">
        <w:rPr>
          <w:rFonts w:ascii="Georgia" w:hAnsi="Georgia"/>
          <w:sz w:val="18"/>
          <w:szCs w:val="18"/>
        </w:rPr>
        <w:t xml:space="preserve"> </w:t>
      </w:r>
      <w:r w:rsidRPr="00870CF1">
        <w:rPr>
          <w:rFonts w:ascii="Georgia" w:hAnsi="Georgia" w:eastAsia="Garamond" w:cs="Garamond"/>
          <w:sz w:val="18"/>
          <w:szCs w:val="18"/>
        </w:rPr>
        <w:t>The study was partly funded by BEMIS Scotland and the University of Glasgow (UofG) and  approved by the UofG’s ethics committee.</w:t>
      </w:r>
    </w:p>
  </w:endnote>
  <w:endnote w:id="6">
    <w:p w:rsidRPr="00870CF1" w:rsidR="002158A2" w:rsidP="00027BA3" w:rsidRDefault="002158A2" w14:paraId="2584192B" w14:textId="39281274">
      <w:pPr>
        <w:pStyle w:val="EndnoteText"/>
        <w:rPr>
          <w:rFonts w:ascii="Georgia" w:hAnsi="Georgia"/>
          <w:sz w:val="18"/>
          <w:szCs w:val="18"/>
          <w:lang w:val="en-GB"/>
        </w:rPr>
      </w:pPr>
      <w:r w:rsidRPr="00870CF1">
        <w:rPr>
          <w:rStyle w:val="EndnoteReference"/>
          <w:rFonts w:ascii="Georgia" w:hAnsi="Georgia"/>
          <w:sz w:val="18"/>
          <w:szCs w:val="18"/>
        </w:rPr>
        <w:endnoteRef/>
      </w:r>
      <w:r w:rsidRPr="00870CF1">
        <w:rPr>
          <w:rFonts w:ascii="Georgia" w:hAnsi="Georgia"/>
          <w:sz w:val="18"/>
          <w:szCs w:val="18"/>
        </w:rPr>
        <w:t xml:space="preserve"> </w:t>
      </w:r>
      <w:r w:rsidRPr="00870CF1">
        <w:rPr>
          <w:rFonts w:ascii="Georgia" w:hAnsi="Georgia"/>
          <w:sz w:val="18"/>
          <w:szCs w:val="18"/>
          <w:lang w:val="en-GB"/>
        </w:rPr>
        <w:t>See e.g. Simion 2021c for a recent overview.</w:t>
      </w:r>
    </w:p>
  </w:endnote>
  <w:endnote w:id="7">
    <w:p w:rsidRPr="005D7B80" w:rsidR="002158A2" w:rsidP="00227275" w:rsidRDefault="002158A2" w14:paraId="0FE1ADF0" w14:textId="77777777">
      <w:pPr>
        <w:spacing w:line="240" w:lineRule="auto"/>
        <w:jc w:val="both"/>
        <w:rPr>
          <w:rFonts w:ascii="Georgia" w:hAnsi="Georgia" w:eastAsia="Times New Roman"/>
          <w:color w:val="000000" w:themeColor="text1"/>
          <w:sz w:val="18"/>
          <w:szCs w:val="18"/>
          <w:lang w:eastAsia="en-GB"/>
        </w:rPr>
      </w:pPr>
      <w:r w:rsidRPr="00870CF1">
        <w:rPr>
          <w:rStyle w:val="EndnoteReference"/>
          <w:rFonts w:ascii="Georgia" w:hAnsi="Georgia"/>
          <w:sz w:val="18"/>
          <w:szCs w:val="18"/>
        </w:rPr>
        <w:endnoteRef/>
      </w:r>
      <w:r w:rsidRPr="00870CF1">
        <w:rPr>
          <w:rFonts w:ascii="Georgia" w:hAnsi="Georgia"/>
          <w:sz w:val="18"/>
          <w:szCs w:val="18"/>
        </w:rPr>
        <w:t xml:space="preserve"> Note that </w:t>
      </w:r>
      <w:r w:rsidRPr="00870CF1">
        <w:rPr>
          <w:rFonts w:ascii="Georgia" w:hAnsi="Georgia" w:eastAsia="Times New Roman"/>
          <w:color w:val="000000" w:themeColor="text1"/>
          <w:sz w:val="18"/>
          <w:szCs w:val="18"/>
          <w:lang w:eastAsia="en-GB"/>
        </w:rPr>
        <w:t xml:space="preserve">if the diagnosis that we ofer is right, both philosophical views on expertise will have resources to escape the prediction of irrationality: on some versions of the Preemtion View, that is because the relevant testifiers will not count as experts for the audiences at stake; for the Total Evidence View, because of the way in which evidence and </w:t>
      </w:r>
      <w:r w:rsidRPr="005D7B80">
        <w:rPr>
          <w:rFonts w:ascii="Georgia" w:hAnsi="Georgia" w:eastAsia="Times New Roman"/>
          <w:color w:val="000000" w:themeColor="text1"/>
          <w:sz w:val="18"/>
          <w:szCs w:val="18"/>
          <w:lang w:eastAsia="en-GB"/>
        </w:rPr>
        <w:t>defeat work at these contexts.</w:t>
      </w:r>
    </w:p>
  </w:endnote>
  <w:endnote w:id="8">
    <w:p w:rsidRPr="005D7B80" w:rsidR="002158A2" w:rsidRDefault="002158A2" w14:paraId="68FABC89" w14:textId="0C1093F9">
      <w:pPr>
        <w:pStyle w:val="EndnoteText"/>
        <w:rPr>
          <w:lang w:val="en-GB"/>
        </w:rPr>
      </w:pPr>
      <w:r w:rsidRPr="005D7B80">
        <w:rPr>
          <w:rStyle w:val="EndnoteReference"/>
          <w:rFonts w:ascii="Georgia" w:hAnsi="Georgia"/>
          <w:color w:val="000000" w:themeColor="text1"/>
          <w:sz w:val="18"/>
          <w:szCs w:val="18"/>
        </w:rPr>
        <w:endnoteRef/>
      </w:r>
      <w:r>
        <w:rPr>
          <w:rFonts w:ascii="Georgia" w:hAnsi="Georgia"/>
          <w:color w:val="000000" w:themeColor="text1"/>
          <w:sz w:val="18"/>
          <w:szCs w:val="18"/>
        </w:rPr>
        <w:t xml:space="preserve"> Scottish Government Report 2002</w:t>
      </w:r>
      <w:r w:rsidRPr="005D7B80">
        <w:rPr>
          <w:rFonts w:ascii="Georgia" w:hAnsi="Georgia"/>
          <w:color w:val="000000" w:themeColor="text1"/>
          <w:sz w:val="18"/>
          <w:szCs w:val="18"/>
        </w:rPr>
        <w:t xml:space="preserve"> </w:t>
      </w:r>
      <w:r>
        <w:rPr>
          <w:rFonts w:ascii="Georgia" w:hAnsi="Georgia"/>
          <w:color w:val="000000" w:themeColor="text1"/>
          <w:sz w:val="18"/>
          <w:szCs w:val="18"/>
        </w:rPr>
        <w:t>(</w:t>
      </w:r>
      <w:hyperlink w:history="1" r:id="rId5">
        <w:r w:rsidRPr="00655142">
          <w:rPr>
            <w:rStyle w:val="Hyperlink"/>
            <w:rFonts w:ascii="Georgia" w:hAnsi="Georgia"/>
            <w:sz w:val="18"/>
            <w:szCs w:val="18"/>
          </w:rPr>
          <w:t>https://www.gov.scot/publications/vaccine-inclusion-phase-one-covid-19-vaccination-programme/pages/3/</w:t>
        </w:r>
      </w:hyperlink>
      <w:r>
        <w:rPr>
          <w:rFonts w:ascii="Georgia" w:hAnsi="Georgia"/>
          <w:color w:val="000000" w:themeColor="text1"/>
          <w:sz w:val="18"/>
          <w:szCs w:val="18"/>
        </w:rPr>
        <w:t>)</w:t>
      </w:r>
      <w:r w:rsidRPr="005D7B80">
        <w:rPr>
          <w:color w:val="000000" w:themeColor="text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01043278"/>
      <w:docPartObj>
        <w:docPartGallery w:val="Page Numbers (Bottom of Page)"/>
        <w:docPartUnique/>
      </w:docPartObj>
    </w:sdtPr>
    <w:sdtContent>
      <w:p w:rsidR="003D5829" w:rsidP="008451C4" w:rsidRDefault="003D5829" w14:paraId="5AB3357C" w14:textId="33AEF2F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36522">
          <w:rPr>
            <w:rStyle w:val="PageNumber"/>
            <w:noProof/>
          </w:rPr>
          <w:t>6</w:t>
        </w:r>
        <w:r>
          <w:rPr>
            <w:rStyle w:val="PageNumber"/>
          </w:rPr>
          <w:fldChar w:fldCharType="end"/>
        </w:r>
      </w:p>
    </w:sdtContent>
    <w:sdtEndPr>
      <w:rPr>
        <w:rStyle w:val="PageNumber"/>
      </w:rPr>
    </w:sdtEndPr>
  </w:sdt>
  <w:p w:rsidR="003D5829" w:rsidP="003D5829" w:rsidRDefault="003D5829" w14:paraId="3C0303B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33705641"/>
      <w:docPartObj>
        <w:docPartGallery w:val="Page Numbers (Bottom of Page)"/>
        <w:docPartUnique/>
      </w:docPartObj>
    </w:sdtPr>
    <w:sdtContent>
      <w:p w:rsidR="003D5829" w:rsidP="008451C4" w:rsidRDefault="003D5829" w14:paraId="0805E64A" w14:textId="1CF314F8">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EndPr>
      <w:rPr>
        <w:rStyle w:val="PageNumber"/>
      </w:rPr>
    </w:sdtEndPr>
  </w:sdt>
  <w:p w:rsidR="003D5829" w:rsidP="003D5829" w:rsidRDefault="003D5829" w14:paraId="578442DC"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07996" w:rsidP="003D5829" w:rsidRDefault="00207996" w14:paraId="33F7B3BA" w14:textId="77777777">
      <w:pPr>
        <w:spacing w:line="240" w:lineRule="auto"/>
      </w:pPr>
      <w:r>
        <w:separator/>
      </w:r>
    </w:p>
  </w:footnote>
  <w:footnote w:type="continuationSeparator" w:id="0">
    <w:p w:rsidR="00207996" w:rsidP="003D5829" w:rsidRDefault="00207996" w14:paraId="3BE9A5DF"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4F85"/>
    <w:multiLevelType w:val="multilevel"/>
    <w:tmpl w:val="BC4C2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432E1F"/>
    <w:multiLevelType w:val="multilevel"/>
    <w:tmpl w:val="3FF27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054E4C"/>
    <w:multiLevelType w:val="hybridMultilevel"/>
    <w:tmpl w:val="00000000"/>
    <w:lvl w:ilvl="0" w:tplc="0750CC3A">
      <w:start w:val="1"/>
      <w:numFmt w:val="decimal"/>
      <w:lvlText w:val="%1."/>
      <w:lvlJc w:val="left"/>
      <w:pPr>
        <w:ind w:left="720" w:hanging="360"/>
      </w:pPr>
      <w:rPr>
        <w:u w:val="none"/>
      </w:rPr>
    </w:lvl>
    <w:lvl w:ilvl="1" w:tplc="86282F52">
      <w:start w:val="1"/>
      <w:numFmt w:val="lowerLetter"/>
      <w:lvlText w:val="%2."/>
      <w:lvlJc w:val="left"/>
      <w:pPr>
        <w:ind w:left="1440" w:hanging="360"/>
      </w:pPr>
      <w:rPr>
        <w:u w:val="none"/>
      </w:rPr>
    </w:lvl>
    <w:lvl w:ilvl="2" w:tplc="E74A9582">
      <w:start w:val="1"/>
      <w:numFmt w:val="lowerRoman"/>
      <w:lvlText w:val="%3."/>
      <w:lvlJc w:val="right"/>
      <w:pPr>
        <w:ind w:left="2160" w:hanging="360"/>
      </w:pPr>
      <w:rPr>
        <w:u w:val="none"/>
      </w:rPr>
    </w:lvl>
    <w:lvl w:ilvl="3" w:tplc="4BA8D1A0">
      <w:start w:val="1"/>
      <w:numFmt w:val="decimal"/>
      <w:lvlText w:val="%4."/>
      <w:lvlJc w:val="left"/>
      <w:pPr>
        <w:ind w:left="2880" w:hanging="360"/>
      </w:pPr>
      <w:rPr>
        <w:u w:val="none"/>
      </w:rPr>
    </w:lvl>
    <w:lvl w:ilvl="4" w:tplc="83CE00B0">
      <w:start w:val="1"/>
      <w:numFmt w:val="lowerLetter"/>
      <w:lvlText w:val="%5."/>
      <w:lvlJc w:val="left"/>
      <w:pPr>
        <w:ind w:left="3600" w:hanging="360"/>
      </w:pPr>
      <w:rPr>
        <w:u w:val="none"/>
      </w:rPr>
    </w:lvl>
    <w:lvl w:ilvl="5" w:tplc="C6F88ACA">
      <w:start w:val="1"/>
      <w:numFmt w:val="lowerRoman"/>
      <w:lvlText w:val="%6."/>
      <w:lvlJc w:val="right"/>
      <w:pPr>
        <w:ind w:left="4320" w:hanging="360"/>
      </w:pPr>
      <w:rPr>
        <w:u w:val="none"/>
      </w:rPr>
    </w:lvl>
    <w:lvl w:ilvl="6" w:tplc="045ECC84">
      <w:start w:val="1"/>
      <w:numFmt w:val="decimal"/>
      <w:lvlText w:val="%7."/>
      <w:lvlJc w:val="left"/>
      <w:pPr>
        <w:ind w:left="5040" w:hanging="360"/>
      </w:pPr>
      <w:rPr>
        <w:u w:val="none"/>
      </w:rPr>
    </w:lvl>
    <w:lvl w:ilvl="7" w:tplc="89A4C1B0">
      <w:start w:val="1"/>
      <w:numFmt w:val="lowerLetter"/>
      <w:lvlText w:val="%8."/>
      <w:lvlJc w:val="left"/>
      <w:pPr>
        <w:ind w:left="5760" w:hanging="360"/>
      </w:pPr>
      <w:rPr>
        <w:u w:val="none"/>
      </w:rPr>
    </w:lvl>
    <w:lvl w:ilvl="8" w:tplc="32B47D5C">
      <w:start w:val="1"/>
      <w:numFmt w:val="lowerRoman"/>
      <w:lvlText w:val="%9."/>
      <w:lvlJc w:val="right"/>
      <w:pPr>
        <w:ind w:left="6480" w:hanging="360"/>
      </w:pPr>
      <w:rPr>
        <w:u w:val="none"/>
      </w:rPr>
    </w:lvl>
  </w:abstractNum>
  <w:abstractNum w:abstractNumId="3" w15:restartNumberingAfterBreak="0">
    <w:nsid w:val="10C74F98"/>
    <w:multiLevelType w:val="hybridMultilevel"/>
    <w:tmpl w:val="00000000"/>
    <w:lvl w:ilvl="0" w:tplc="9416AC96">
      <w:start w:val="1"/>
      <w:numFmt w:val="bullet"/>
      <w:lvlText w:val="●"/>
      <w:lvlJc w:val="left"/>
      <w:pPr>
        <w:ind w:left="720" w:hanging="360"/>
      </w:pPr>
      <w:rPr>
        <w:sz w:val="14"/>
        <w:szCs w:val="14"/>
        <w:u w:val="none"/>
      </w:rPr>
    </w:lvl>
    <w:lvl w:ilvl="1" w:tplc="A8123D8E">
      <w:start w:val="1"/>
      <w:numFmt w:val="bullet"/>
      <w:lvlText w:val="○"/>
      <w:lvlJc w:val="left"/>
      <w:pPr>
        <w:ind w:left="1440" w:hanging="360"/>
      </w:pPr>
      <w:rPr>
        <w:sz w:val="16"/>
        <w:szCs w:val="16"/>
        <w:u w:val="none"/>
      </w:rPr>
    </w:lvl>
    <w:lvl w:ilvl="2" w:tplc="D8ACD96C">
      <w:start w:val="1"/>
      <w:numFmt w:val="bullet"/>
      <w:lvlText w:val="■"/>
      <w:lvlJc w:val="left"/>
      <w:pPr>
        <w:ind w:left="2160" w:hanging="360"/>
      </w:pPr>
      <w:rPr>
        <w:u w:val="none"/>
      </w:rPr>
    </w:lvl>
    <w:lvl w:ilvl="3" w:tplc="9E2C7CA2">
      <w:start w:val="1"/>
      <w:numFmt w:val="bullet"/>
      <w:lvlText w:val="●"/>
      <w:lvlJc w:val="left"/>
      <w:pPr>
        <w:ind w:left="2880" w:hanging="360"/>
      </w:pPr>
      <w:rPr>
        <w:u w:val="none"/>
      </w:rPr>
    </w:lvl>
    <w:lvl w:ilvl="4" w:tplc="D4AA18E8">
      <w:start w:val="1"/>
      <w:numFmt w:val="bullet"/>
      <w:lvlText w:val="○"/>
      <w:lvlJc w:val="left"/>
      <w:pPr>
        <w:ind w:left="3600" w:hanging="360"/>
      </w:pPr>
      <w:rPr>
        <w:u w:val="none"/>
      </w:rPr>
    </w:lvl>
    <w:lvl w:ilvl="5" w:tplc="CCC683F4">
      <w:start w:val="1"/>
      <w:numFmt w:val="bullet"/>
      <w:lvlText w:val="■"/>
      <w:lvlJc w:val="left"/>
      <w:pPr>
        <w:ind w:left="4320" w:hanging="360"/>
      </w:pPr>
      <w:rPr>
        <w:u w:val="none"/>
      </w:rPr>
    </w:lvl>
    <w:lvl w:ilvl="6" w:tplc="88EE9F36">
      <w:start w:val="1"/>
      <w:numFmt w:val="bullet"/>
      <w:lvlText w:val="●"/>
      <w:lvlJc w:val="left"/>
      <w:pPr>
        <w:ind w:left="5040" w:hanging="360"/>
      </w:pPr>
      <w:rPr>
        <w:u w:val="none"/>
      </w:rPr>
    </w:lvl>
    <w:lvl w:ilvl="7" w:tplc="82C09852">
      <w:start w:val="1"/>
      <w:numFmt w:val="bullet"/>
      <w:lvlText w:val="○"/>
      <w:lvlJc w:val="left"/>
      <w:pPr>
        <w:ind w:left="5760" w:hanging="360"/>
      </w:pPr>
      <w:rPr>
        <w:u w:val="none"/>
      </w:rPr>
    </w:lvl>
    <w:lvl w:ilvl="8" w:tplc="E9608EE2">
      <w:start w:val="1"/>
      <w:numFmt w:val="bullet"/>
      <w:lvlText w:val="■"/>
      <w:lvlJc w:val="left"/>
      <w:pPr>
        <w:ind w:left="6480" w:hanging="360"/>
      </w:pPr>
      <w:rPr>
        <w:u w:val="none"/>
      </w:rPr>
    </w:lvl>
  </w:abstractNum>
  <w:abstractNum w:abstractNumId="4" w15:restartNumberingAfterBreak="0">
    <w:nsid w:val="1A3F1E54"/>
    <w:multiLevelType w:val="multilevel"/>
    <w:tmpl w:val="84D09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922791"/>
    <w:multiLevelType w:val="hybridMultilevel"/>
    <w:tmpl w:val="3FEC92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754402"/>
    <w:multiLevelType w:val="hybridMultilevel"/>
    <w:tmpl w:val="214CB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C7495C"/>
    <w:multiLevelType w:val="multilevel"/>
    <w:tmpl w:val="1DD26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F384C2"/>
    <w:multiLevelType w:val="hybridMultilevel"/>
    <w:tmpl w:val="00000000"/>
    <w:lvl w:ilvl="0" w:tplc="D81C50D6">
      <w:start w:val="1"/>
      <w:numFmt w:val="lowerLetter"/>
      <w:lvlText w:val="%1)"/>
      <w:lvlJc w:val="left"/>
      <w:pPr>
        <w:ind w:left="720" w:hanging="360"/>
      </w:pPr>
      <w:rPr>
        <w:i/>
        <w:u w:val="none"/>
      </w:rPr>
    </w:lvl>
    <w:lvl w:ilvl="1" w:tplc="9C980D1C">
      <w:start w:val="1"/>
      <w:numFmt w:val="lowerLetter"/>
      <w:lvlText w:val="%2)"/>
      <w:lvlJc w:val="left"/>
      <w:pPr>
        <w:ind w:left="1440" w:hanging="360"/>
      </w:pPr>
      <w:rPr>
        <w:u w:val="none"/>
      </w:rPr>
    </w:lvl>
    <w:lvl w:ilvl="2" w:tplc="29A867AA">
      <w:start w:val="1"/>
      <w:numFmt w:val="lowerRoman"/>
      <w:lvlText w:val="%3)"/>
      <w:lvlJc w:val="right"/>
      <w:pPr>
        <w:ind w:left="2160" w:hanging="360"/>
      </w:pPr>
      <w:rPr>
        <w:u w:val="none"/>
      </w:rPr>
    </w:lvl>
    <w:lvl w:ilvl="3" w:tplc="73E24428">
      <w:start w:val="1"/>
      <w:numFmt w:val="decimal"/>
      <w:lvlText w:val="%4)"/>
      <w:lvlJc w:val="left"/>
      <w:pPr>
        <w:ind w:left="2880" w:hanging="360"/>
      </w:pPr>
      <w:rPr>
        <w:u w:val="none"/>
      </w:rPr>
    </w:lvl>
    <w:lvl w:ilvl="4" w:tplc="11B2263E">
      <w:start w:val="1"/>
      <w:numFmt w:val="lowerLetter"/>
      <w:lvlText w:val="%5)"/>
      <w:lvlJc w:val="left"/>
      <w:pPr>
        <w:ind w:left="3600" w:hanging="360"/>
      </w:pPr>
      <w:rPr>
        <w:u w:val="none"/>
      </w:rPr>
    </w:lvl>
    <w:lvl w:ilvl="5" w:tplc="9D50B178">
      <w:start w:val="1"/>
      <w:numFmt w:val="lowerRoman"/>
      <w:lvlText w:val="%6)"/>
      <w:lvlJc w:val="right"/>
      <w:pPr>
        <w:ind w:left="4320" w:hanging="360"/>
      </w:pPr>
      <w:rPr>
        <w:u w:val="none"/>
      </w:rPr>
    </w:lvl>
    <w:lvl w:ilvl="6" w:tplc="DE842B46">
      <w:start w:val="1"/>
      <w:numFmt w:val="decimal"/>
      <w:lvlText w:val="%7)"/>
      <w:lvlJc w:val="left"/>
      <w:pPr>
        <w:ind w:left="5040" w:hanging="360"/>
      </w:pPr>
      <w:rPr>
        <w:u w:val="none"/>
      </w:rPr>
    </w:lvl>
    <w:lvl w:ilvl="7" w:tplc="780023DE">
      <w:start w:val="1"/>
      <w:numFmt w:val="lowerLetter"/>
      <w:lvlText w:val="%8)"/>
      <w:lvlJc w:val="left"/>
      <w:pPr>
        <w:ind w:left="5760" w:hanging="360"/>
      </w:pPr>
      <w:rPr>
        <w:u w:val="none"/>
      </w:rPr>
    </w:lvl>
    <w:lvl w:ilvl="8" w:tplc="6FE2A972">
      <w:start w:val="1"/>
      <w:numFmt w:val="lowerRoman"/>
      <w:lvlText w:val="%9)"/>
      <w:lvlJc w:val="right"/>
      <w:pPr>
        <w:ind w:left="6480" w:hanging="360"/>
      </w:pPr>
      <w:rPr>
        <w:u w:val="none"/>
      </w:rPr>
    </w:lvl>
  </w:abstractNum>
  <w:abstractNum w:abstractNumId="9" w15:restartNumberingAfterBreak="0">
    <w:nsid w:val="485D5E10"/>
    <w:multiLevelType w:val="multilevel"/>
    <w:tmpl w:val="B9069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976E49"/>
    <w:multiLevelType w:val="multilevel"/>
    <w:tmpl w:val="81704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D56D24"/>
    <w:multiLevelType w:val="multilevel"/>
    <w:tmpl w:val="79121B2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64361943"/>
    <w:multiLevelType w:val="hybridMultilevel"/>
    <w:tmpl w:val="00000000"/>
    <w:lvl w:ilvl="0" w:tplc="D4C41CD4">
      <w:start w:val="1"/>
      <w:numFmt w:val="lowerLetter"/>
      <w:lvlText w:val="%1)"/>
      <w:lvlJc w:val="left"/>
      <w:pPr>
        <w:ind w:left="720" w:hanging="360"/>
      </w:pPr>
      <w:rPr>
        <w:i/>
        <w:u w:val="none"/>
      </w:rPr>
    </w:lvl>
    <w:lvl w:ilvl="1" w:tplc="464C673A">
      <w:start w:val="1"/>
      <w:numFmt w:val="lowerLetter"/>
      <w:lvlText w:val="%2)"/>
      <w:lvlJc w:val="left"/>
      <w:pPr>
        <w:ind w:left="1440" w:hanging="360"/>
      </w:pPr>
      <w:rPr>
        <w:u w:val="none"/>
      </w:rPr>
    </w:lvl>
    <w:lvl w:ilvl="2" w:tplc="A9C43D52">
      <w:start w:val="1"/>
      <w:numFmt w:val="lowerRoman"/>
      <w:lvlText w:val="%3)"/>
      <w:lvlJc w:val="right"/>
      <w:pPr>
        <w:ind w:left="2160" w:hanging="360"/>
      </w:pPr>
      <w:rPr>
        <w:u w:val="none"/>
      </w:rPr>
    </w:lvl>
    <w:lvl w:ilvl="3" w:tplc="FEDE1470">
      <w:start w:val="1"/>
      <w:numFmt w:val="decimal"/>
      <w:lvlText w:val="%4)"/>
      <w:lvlJc w:val="left"/>
      <w:pPr>
        <w:ind w:left="2880" w:hanging="360"/>
      </w:pPr>
      <w:rPr>
        <w:u w:val="none"/>
      </w:rPr>
    </w:lvl>
    <w:lvl w:ilvl="4" w:tplc="7E60B806">
      <w:start w:val="1"/>
      <w:numFmt w:val="lowerLetter"/>
      <w:lvlText w:val="%5)"/>
      <w:lvlJc w:val="left"/>
      <w:pPr>
        <w:ind w:left="3600" w:hanging="360"/>
      </w:pPr>
      <w:rPr>
        <w:u w:val="none"/>
      </w:rPr>
    </w:lvl>
    <w:lvl w:ilvl="5" w:tplc="76307902">
      <w:start w:val="1"/>
      <w:numFmt w:val="lowerRoman"/>
      <w:lvlText w:val="%6)"/>
      <w:lvlJc w:val="right"/>
      <w:pPr>
        <w:ind w:left="4320" w:hanging="360"/>
      </w:pPr>
      <w:rPr>
        <w:u w:val="none"/>
      </w:rPr>
    </w:lvl>
    <w:lvl w:ilvl="6" w:tplc="A63A9BBA">
      <w:start w:val="1"/>
      <w:numFmt w:val="decimal"/>
      <w:lvlText w:val="%7)"/>
      <w:lvlJc w:val="left"/>
      <w:pPr>
        <w:ind w:left="5040" w:hanging="360"/>
      </w:pPr>
      <w:rPr>
        <w:u w:val="none"/>
      </w:rPr>
    </w:lvl>
    <w:lvl w:ilvl="7" w:tplc="CDBC4D3C">
      <w:start w:val="1"/>
      <w:numFmt w:val="lowerLetter"/>
      <w:lvlText w:val="%8)"/>
      <w:lvlJc w:val="left"/>
      <w:pPr>
        <w:ind w:left="5760" w:hanging="360"/>
      </w:pPr>
      <w:rPr>
        <w:u w:val="none"/>
      </w:rPr>
    </w:lvl>
    <w:lvl w:ilvl="8" w:tplc="490E0444">
      <w:start w:val="1"/>
      <w:numFmt w:val="lowerRoman"/>
      <w:lvlText w:val="%9)"/>
      <w:lvlJc w:val="right"/>
      <w:pPr>
        <w:ind w:left="6480" w:hanging="360"/>
      </w:pPr>
      <w:rPr>
        <w:u w:val="none"/>
      </w:rPr>
    </w:lvl>
  </w:abstractNum>
  <w:abstractNum w:abstractNumId="13" w15:restartNumberingAfterBreak="0">
    <w:nsid w:val="648C1F94"/>
    <w:multiLevelType w:val="multilevel"/>
    <w:tmpl w:val="50868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286366"/>
    <w:multiLevelType w:val="hybridMultilevel"/>
    <w:tmpl w:val="00000000"/>
    <w:lvl w:ilvl="0" w:tplc="2CA89A84">
      <w:start w:val="1"/>
      <w:numFmt w:val="bullet"/>
      <w:lvlText w:val="●"/>
      <w:lvlJc w:val="left"/>
      <w:pPr>
        <w:ind w:left="720" w:hanging="360"/>
      </w:pPr>
      <w:rPr>
        <w:sz w:val="14"/>
        <w:szCs w:val="14"/>
        <w:u w:val="none"/>
      </w:rPr>
    </w:lvl>
    <w:lvl w:ilvl="1" w:tplc="3CD08B4E">
      <w:start w:val="1"/>
      <w:numFmt w:val="bullet"/>
      <w:lvlText w:val="○"/>
      <w:lvlJc w:val="left"/>
      <w:pPr>
        <w:ind w:left="1440" w:hanging="360"/>
      </w:pPr>
      <w:rPr>
        <w:sz w:val="14"/>
        <w:szCs w:val="14"/>
        <w:u w:val="none"/>
      </w:rPr>
    </w:lvl>
    <w:lvl w:ilvl="2" w:tplc="CD2ED6E0">
      <w:start w:val="1"/>
      <w:numFmt w:val="bullet"/>
      <w:lvlText w:val="■"/>
      <w:lvlJc w:val="left"/>
      <w:pPr>
        <w:ind w:left="2160" w:hanging="360"/>
      </w:pPr>
      <w:rPr>
        <w:u w:val="none"/>
      </w:rPr>
    </w:lvl>
    <w:lvl w:ilvl="3" w:tplc="DAD0D6BC">
      <w:start w:val="1"/>
      <w:numFmt w:val="bullet"/>
      <w:lvlText w:val="●"/>
      <w:lvlJc w:val="left"/>
      <w:pPr>
        <w:ind w:left="2880" w:hanging="360"/>
      </w:pPr>
      <w:rPr>
        <w:u w:val="none"/>
      </w:rPr>
    </w:lvl>
    <w:lvl w:ilvl="4" w:tplc="84B24502">
      <w:start w:val="1"/>
      <w:numFmt w:val="bullet"/>
      <w:lvlText w:val="○"/>
      <w:lvlJc w:val="left"/>
      <w:pPr>
        <w:ind w:left="3600" w:hanging="360"/>
      </w:pPr>
      <w:rPr>
        <w:u w:val="none"/>
      </w:rPr>
    </w:lvl>
    <w:lvl w:ilvl="5" w:tplc="E4C85126">
      <w:start w:val="1"/>
      <w:numFmt w:val="bullet"/>
      <w:lvlText w:val="■"/>
      <w:lvlJc w:val="left"/>
      <w:pPr>
        <w:ind w:left="4320" w:hanging="360"/>
      </w:pPr>
      <w:rPr>
        <w:u w:val="none"/>
      </w:rPr>
    </w:lvl>
    <w:lvl w:ilvl="6" w:tplc="78443306">
      <w:start w:val="1"/>
      <w:numFmt w:val="bullet"/>
      <w:lvlText w:val="●"/>
      <w:lvlJc w:val="left"/>
      <w:pPr>
        <w:ind w:left="5040" w:hanging="360"/>
      </w:pPr>
      <w:rPr>
        <w:u w:val="none"/>
      </w:rPr>
    </w:lvl>
    <w:lvl w:ilvl="7" w:tplc="D0062D0E">
      <w:start w:val="1"/>
      <w:numFmt w:val="bullet"/>
      <w:lvlText w:val="○"/>
      <w:lvlJc w:val="left"/>
      <w:pPr>
        <w:ind w:left="5760" w:hanging="360"/>
      </w:pPr>
      <w:rPr>
        <w:u w:val="none"/>
      </w:rPr>
    </w:lvl>
    <w:lvl w:ilvl="8" w:tplc="DD2EC102">
      <w:start w:val="1"/>
      <w:numFmt w:val="bullet"/>
      <w:lvlText w:val="■"/>
      <w:lvlJc w:val="left"/>
      <w:pPr>
        <w:ind w:left="6480" w:hanging="360"/>
      </w:pPr>
      <w:rPr>
        <w:u w:val="none"/>
      </w:rPr>
    </w:lvl>
  </w:abstractNum>
  <w:num w:numId="1" w16cid:durableId="735471464">
    <w:abstractNumId w:val="3"/>
  </w:num>
  <w:num w:numId="2" w16cid:durableId="259989093">
    <w:abstractNumId w:val="12"/>
  </w:num>
  <w:num w:numId="3" w16cid:durableId="717046449">
    <w:abstractNumId w:val="8"/>
  </w:num>
  <w:num w:numId="4" w16cid:durableId="1600213367">
    <w:abstractNumId w:val="2"/>
  </w:num>
  <w:num w:numId="5" w16cid:durableId="1279027367">
    <w:abstractNumId w:val="14"/>
  </w:num>
  <w:num w:numId="6" w16cid:durableId="1312707936">
    <w:abstractNumId w:val="6"/>
  </w:num>
  <w:num w:numId="7" w16cid:durableId="1783501702">
    <w:abstractNumId w:val="5"/>
  </w:num>
  <w:num w:numId="8" w16cid:durableId="2073893815">
    <w:abstractNumId w:val="0"/>
  </w:num>
  <w:num w:numId="9" w16cid:durableId="1436055618">
    <w:abstractNumId w:val="4"/>
  </w:num>
  <w:num w:numId="10" w16cid:durableId="1693219792">
    <w:abstractNumId w:val="9"/>
  </w:num>
  <w:num w:numId="11" w16cid:durableId="1554199634">
    <w:abstractNumId w:val="1"/>
  </w:num>
  <w:num w:numId="12" w16cid:durableId="1534462585">
    <w:abstractNumId w:val="10"/>
  </w:num>
  <w:num w:numId="13" w16cid:durableId="605500173">
    <w:abstractNumId w:val="13"/>
  </w:num>
  <w:num w:numId="14" w16cid:durableId="126558611">
    <w:abstractNumId w:val="7"/>
  </w:num>
  <w:num w:numId="15" w16cid:durableId="1262714619">
    <w:abstractNumId w:val="11"/>
    <w:lvlOverride w:ilvl="0">
      <w:lvl w:ilvl="0">
        <w:numFmt w:val="bullet"/>
        <w:lvlText w:val=""/>
        <w:lvlJc w:val="left"/>
        <w:pPr>
          <w:tabs>
            <w:tab w:val="num" w:pos="720"/>
          </w:tabs>
          <w:ind w:left="720" w:hanging="360"/>
        </w:pPr>
        <w:rPr>
          <w:rFonts w:hint="default" w:ascii="Wingdings" w:hAnsi="Wingdings"/>
          <w:sz w:val="20"/>
        </w:rPr>
      </w:lvl>
    </w:lvlOverride>
  </w:num>
  <w:num w:numId="16" w16cid:durableId="1402287396">
    <w:abstractNumId w:val="11"/>
    <w:lvlOverride w:ilvl="0">
      <w:lvl w:ilvl="0">
        <w:numFmt w:val="bullet"/>
        <w:lvlText w:val=""/>
        <w:lvlJc w:val="left"/>
        <w:pPr>
          <w:tabs>
            <w:tab w:val="num" w:pos="720"/>
          </w:tabs>
          <w:ind w:left="720" w:hanging="360"/>
        </w:pPr>
        <w:rPr>
          <w:rFonts w:hint="default" w:ascii="Wingdings" w:hAnsi="Wingdings"/>
          <w:sz w:val="20"/>
        </w:rPr>
      </w:lvl>
    </w:lvlOverride>
    <w:lvlOverride w:ilvl="1">
      <w:lvl w:ilvl="1">
        <w:numFmt w:val="bullet"/>
        <w:lvlText w:val=""/>
        <w:lvlJc w:val="left"/>
        <w:pPr>
          <w:tabs>
            <w:tab w:val="num" w:pos="1440"/>
          </w:tabs>
          <w:ind w:left="1440" w:hanging="360"/>
        </w:pPr>
        <w:rPr>
          <w:rFonts w:hint="default" w:ascii="Wingdings" w:hAnsi="Wingdings"/>
          <w:sz w:val="20"/>
        </w:rPr>
      </w:lvl>
    </w:lvlOverride>
  </w:num>
  <w:num w:numId="17" w16cid:durableId="1077433102">
    <w:abstractNumId w:val="11"/>
    <w:lvlOverride w:ilvl="0">
      <w:lvl w:ilvl="0">
        <w:numFmt w:val="bullet"/>
        <w:lvlText w:val=""/>
        <w:lvlJc w:val="left"/>
        <w:pPr>
          <w:tabs>
            <w:tab w:val="num" w:pos="720"/>
          </w:tabs>
          <w:ind w:left="720" w:hanging="360"/>
        </w:pPr>
        <w:rPr>
          <w:rFonts w:hint="default" w:ascii="Wingdings" w:hAnsi="Wingdings"/>
          <w:sz w:val="20"/>
        </w:rPr>
      </w:lvl>
    </w:lvlOverride>
    <w:lvlOverride w:ilvl="1">
      <w:lvl w:ilvl="1">
        <w:numFmt w:val="bullet"/>
        <w:lvlText w:val=""/>
        <w:lvlJc w:val="left"/>
        <w:pPr>
          <w:tabs>
            <w:tab w:val="num" w:pos="1440"/>
          </w:tabs>
          <w:ind w:left="1440" w:hanging="360"/>
        </w:pPr>
        <w:rPr>
          <w:rFonts w:hint="default" w:ascii="Wingdings" w:hAnsi="Wingdings"/>
          <w:sz w:val="20"/>
        </w:rPr>
      </w:lvl>
    </w:lvlOverride>
  </w:num>
  <w:num w:numId="18" w16cid:durableId="374432610">
    <w:abstractNumId w:val="11"/>
    <w:lvlOverride w:ilvl="0">
      <w:lvl w:ilvl="0">
        <w:numFmt w:val="bullet"/>
        <w:lvlText w:val=""/>
        <w:lvlJc w:val="left"/>
        <w:pPr>
          <w:tabs>
            <w:tab w:val="num" w:pos="720"/>
          </w:tabs>
          <w:ind w:left="720" w:hanging="360"/>
        </w:pPr>
        <w:rPr>
          <w:rFonts w:hint="default" w:ascii="Wingdings" w:hAnsi="Wingdings"/>
          <w:sz w:val="20"/>
        </w:rPr>
      </w:lvl>
    </w:lvlOverride>
    <w:lvlOverride w:ilvl="1">
      <w:lvl w:ilvl="1">
        <w:numFmt w:val="bullet"/>
        <w:lvlText w:val=""/>
        <w:lvlJc w:val="left"/>
        <w:pPr>
          <w:tabs>
            <w:tab w:val="num" w:pos="1440"/>
          </w:tabs>
          <w:ind w:left="1440" w:hanging="360"/>
        </w:pPr>
        <w:rPr>
          <w:rFonts w:hint="default" w:ascii="Wingdings" w:hAnsi="Wingdings"/>
          <w:sz w:val="20"/>
        </w:rPr>
      </w:lvl>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2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B35"/>
    <w:rsid w:val="00011DEE"/>
    <w:rsid w:val="0002268C"/>
    <w:rsid w:val="00027BA3"/>
    <w:rsid w:val="00032D21"/>
    <w:rsid w:val="00043F49"/>
    <w:rsid w:val="000809C6"/>
    <w:rsid w:val="000C7706"/>
    <w:rsid w:val="001047E6"/>
    <w:rsid w:val="00113383"/>
    <w:rsid w:val="001243D6"/>
    <w:rsid w:val="0014144D"/>
    <w:rsid w:val="00141B16"/>
    <w:rsid w:val="00150154"/>
    <w:rsid w:val="00157243"/>
    <w:rsid w:val="00180219"/>
    <w:rsid w:val="00187168"/>
    <w:rsid w:val="001C3312"/>
    <w:rsid w:val="001E31BD"/>
    <w:rsid w:val="001E4E91"/>
    <w:rsid w:val="00207996"/>
    <w:rsid w:val="002158A2"/>
    <w:rsid w:val="00227275"/>
    <w:rsid w:val="00285FED"/>
    <w:rsid w:val="002873CD"/>
    <w:rsid w:val="00292405"/>
    <w:rsid w:val="00292D78"/>
    <w:rsid w:val="002978BC"/>
    <w:rsid w:val="002A30AF"/>
    <w:rsid w:val="002A341D"/>
    <w:rsid w:val="002B03F6"/>
    <w:rsid w:val="002B7E5C"/>
    <w:rsid w:val="002E0229"/>
    <w:rsid w:val="002E2C76"/>
    <w:rsid w:val="00311D75"/>
    <w:rsid w:val="00334E91"/>
    <w:rsid w:val="003365E0"/>
    <w:rsid w:val="00337FBA"/>
    <w:rsid w:val="00343B43"/>
    <w:rsid w:val="00352CF1"/>
    <w:rsid w:val="00353926"/>
    <w:rsid w:val="00353B59"/>
    <w:rsid w:val="00370D64"/>
    <w:rsid w:val="0039776D"/>
    <w:rsid w:val="003A2960"/>
    <w:rsid w:val="003D0E45"/>
    <w:rsid w:val="003D5829"/>
    <w:rsid w:val="003D5F42"/>
    <w:rsid w:val="003D5F95"/>
    <w:rsid w:val="003F5C60"/>
    <w:rsid w:val="004213D2"/>
    <w:rsid w:val="00436522"/>
    <w:rsid w:val="00476B04"/>
    <w:rsid w:val="004839B9"/>
    <w:rsid w:val="004A1987"/>
    <w:rsid w:val="004F2606"/>
    <w:rsid w:val="00500049"/>
    <w:rsid w:val="00547404"/>
    <w:rsid w:val="005967E8"/>
    <w:rsid w:val="005A5683"/>
    <w:rsid w:val="005D0FE9"/>
    <w:rsid w:val="005D7B80"/>
    <w:rsid w:val="006413FB"/>
    <w:rsid w:val="0064355D"/>
    <w:rsid w:val="00654E7E"/>
    <w:rsid w:val="00665C69"/>
    <w:rsid w:val="00682B5F"/>
    <w:rsid w:val="006954C5"/>
    <w:rsid w:val="006A778C"/>
    <w:rsid w:val="00714CF1"/>
    <w:rsid w:val="00745070"/>
    <w:rsid w:val="00752CE6"/>
    <w:rsid w:val="00777E6F"/>
    <w:rsid w:val="007B1569"/>
    <w:rsid w:val="007B6333"/>
    <w:rsid w:val="007B705C"/>
    <w:rsid w:val="007E145C"/>
    <w:rsid w:val="007F0453"/>
    <w:rsid w:val="00827624"/>
    <w:rsid w:val="00831F51"/>
    <w:rsid w:val="00841C00"/>
    <w:rsid w:val="00870CF1"/>
    <w:rsid w:val="008960FD"/>
    <w:rsid w:val="008A0A73"/>
    <w:rsid w:val="008B0B13"/>
    <w:rsid w:val="008D65F5"/>
    <w:rsid w:val="008E53DD"/>
    <w:rsid w:val="008F351F"/>
    <w:rsid w:val="00905231"/>
    <w:rsid w:val="00942D15"/>
    <w:rsid w:val="00976104"/>
    <w:rsid w:val="009B24AF"/>
    <w:rsid w:val="009C2F8D"/>
    <w:rsid w:val="009E5770"/>
    <w:rsid w:val="00A34482"/>
    <w:rsid w:val="00A5038A"/>
    <w:rsid w:val="00A63D36"/>
    <w:rsid w:val="00A67B60"/>
    <w:rsid w:val="00A756E0"/>
    <w:rsid w:val="00AB3E13"/>
    <w:rsid w:val="00AC2982"/>
    <w:rsid w:val="00AD014D"/>
    <w:rsid w:val="00AD0B35"/>
    <w:rsid w:val="00AE5090"/>
    <w:rsid w:val="00AF3C8C"/>
    <w:rsid w:val="00B213D2"/>
    <w:rsid w:val="00B3764C"/>
    <w:rsid w:val="00B601EC"/>
    <w:rsid w:val="00B70BDE"/>
    <w:rsid w:val="00BE64D6"/>
    <w:rsid w:val="00BF3984"/>
    <w:rsid w:val="00C10F3B"/>
    <w:rsid w:val="00C529BA"/>
    <w:rsid w:val="00C70778"/>
    <w:rsid w:val="00C71CD2"/>
    <w:rsid w:val="00CA01DA"/>
    <w:rsid w:val="00CC4378"/>
    <w:rsid w:val="00CE3820"/>
    <w:rsid w:val="00D2596A"/>
    <w:rsid w:val="00D47ED6"/>
    <w:rsid w:val="00D540C2"/>
    <w:rsid w:val="00D610FB"/>
    <w:rsid w:val="00D80C1B"/>
    <w:rsid w:val="00DC388B"/>
    <w:rsid w:val="00DC5951"/>
    <w:rsid w:val="00DD0CC6"/>
    <w:rsid w:val="00DE3C00"/>
    <w:rsid w:val="00E01245"/>
    <w:rsid w:val="00E015BD"/>
    <w:rsid w:val="00E17335"/>
    <w:rsid w:val="00E50408"/>
    <w:rsid w:val="00E7120B"/>
    <w:rsid w:val="00E73905"/>
    <w:rsid w:val="00E90F95"/>
    <w:rsid w:val="00EA487E"/>
    <w:rsid w:val="00EA526A"/>
    <w:rsid w:val="00EB2B9F"/>
    <w:rsid w:val="00EC3124"/>
    <w:rsid w:val="00ED0ABC"/>
    <w:rsid w:val="00ED51F0"/>
    <w:rsid w:val="00F00F0B"/>
    <w:rsid w:val="00F13F5B"/>
    <w:rsid w:val="00F36ACE"/>
    <w:rsid w:val="00F7336C"/>
    <w:rsid w:val="00F8113D"/>
    <w:rsid w:val="00F9291D"/>
    <w:rsid w:val="00F96EEF"/>
    <w:rsid w:val="00FB2805"/>
    <w:rsid w:val="00FB62CC"/>
    <w:rsid w:val="00FD36B4"/>
    <w:rsid w:val="00FD5D0D"/>
    <w:rsid w:val="00FE04AD"/>
    <w:rsid w:val="00FF20C6"/>
    <w:rsid w:val="1B324241"/>
    <w:rsid w:val="6993879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21902"/>
  <w15:docId w15:val="{14A5330A-476F-44D5-9E1B-42C9FF84928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Arial" w:hAnsi="Arial" w:eastAsia="Arial" w:cs="Arial"/>
        <w:sz w:val="22"/>
        <w:szCs w:val="22"/>
        <w:lang w:va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B77B5"/>
  </w:style>
  <w:style w:type="paragraph" w:styleId="Heading1">
    <w:name w:val="heading 1"/>
    <w:basedOn w:val="Normal1"/>
    <w:next w:val="Normal1"/>
    <w:pPr>
      <w:keepNext/>
      <w:keepLines/>
      <w:spacing w:before="400" w:after="120"/>
      <w:outlineLvl w:val="0"/>
    </w:pPr>
    <w:rPr>
      <w:sz w:val="40"/>
      <w:szCs w:val="40"/>
    </w:rPr>
  </w:style>
  <w:style w:type="paragraph" w:styleId="Heading2">
    <w:name w:val="heading 2"/>
    <w:basedOn w:val="Normal1"/>
    <w:next w:val="Normal1"/>
    <w:pPr>
      <w:keepNext/>
      <w:keepLines/>
      <w:spacing w:before="360" w:after="120"/>
      <w:outlineLvl w:val="1"/>
    </w:pPr>
    <w:rPr>
      <w:sz w:val="32"/>
      <w:szCs w:val="32"/>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1" w:customStyle="1">
    <w:name w:val="Normal1"/>
  </w:style>
  <w:style w:type="table" w:styleId="TableNormal1" w:customStyle="1">
    <w:name w:val="Table Normal1"/>
    <w:tblPr>
      <w:tblCellMar>
        <w:top w:w="0" w:type="dxa"/>
        <w:left w:w="0" w:type="dxa"/>
        <w:bottom w:w="0" w:type="dxa"/>
        <w:right w:w="0" w:type="dxa"/>
      </w:tblCellMar>
    </w:tblPr>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 w:type="paragraph" w:styleId="NormalWeb">
    <w:name w:val="Normal (Web)"/>
    <w:basedOn w:val="Normal"/>
    <w:uiPriority w:val="99"/>
    <w:unhideWhenUsed/>
    <w:rsid w:val="007F0453"/>
    <w:pPr>
      <w:spacing w:before="100" w:beforeAutospacing="1" w:after="100" w:afterAutospacing="1" w:line="240" w:lineRule="auto"/>
    </w:pPr>
    <w:rPr>
      <w:rFonts w:ascii="Times New Roman" w:hAnsi="Times New Roman" w:eastAsia="Times New Roman" w:cs="Times New Roman"/>
      <w:sz w:val="24"/>
      <w:szCs w:val="24"/>
      <w:lang w:val="en-GB" w:eastAsia="en-GB"/>
    </w:rPr>
  </w:style>
  <w:style w:type="paragraph" w:styleId="Footer">
    <w:name w:val="footer"/>
    <w:basedOn w:val="Normal"/>
    <w:link w:val="FooterChar"/>
    <w:uiPriority w:val="99"/>
    <w:unhideWhenUsed/>
    <w:rsid w:val="003D5829"/>
    <w:pPr>
      <w:tabs>
        <w:tab w:val="center" w:pos="4513"/>
        <w:tab w:val="right" w:pos="9026"/>
      </w:tabs>
      <w:spacing w:line="240" w:lineRule="auto"/>
    </w:pPr>
  </w:style>
  <w:style w:type="character" w:styleId="FooterChar" w:customStyle="1">
    <w:name w:val="Footer Char"/>
    <w:basedOn w:val="DefaultParagraphFont"/>
    <w:link w:val="Footer"/>
    <w:uiPriority w:val="99"/>
    <w:rsid w:val="003D5829"/>
  </w:style>
  <w:style w:type="character" w:styleId="PageNumber">
    <w:name w:val="page number"/>
    <w:basedOn w:val="DefaultParagraphFont"/>
    <w:uiPriority w:val="99"/>
    <w:semiHidden/>
    <w:unhideWhenUsed/>
    <w:rsid w:val="003D5829"/>
  </w:style>
  <w:style w:type="paragraph" w:styleId="FootnoteText">
    <w:name w:val="footnote text"/>
    <w:basedOn w:val="Normal"/>
    <w:link w:val="FootnoteTextChar"/>
    <w:uiPriority w:val="99"/>
    <w:semiHidden/>
    <w:unhideWhenUsed/>
    <w:rsid w:val="008B0B13"/>
    <w:pPr>
      <w:spacing w:line="240" w:lineRule="auto"/>
    </w:pPr>
    <w:rPr>
      <w:sz w:val="20"/>
      <w:szCs w:val="20"/>
    </w:rPr>
  </w:style>
  <w:style w:type="character" w:styleId="FootnoteTextChar" w:customStyle="1">
    <w:name w:val="Footnote Text Char"/>
    <w:basedOn w:val="DefaultParagraphFont"/>
    <w:link w:val="FootnoteText"/>
    <w:uiPriority w:val="99"/>
    <w:semiHidden/>
    <w:rsid w:val="008B0B13"/>
    <w:rPr>
      <w:sz w:val="20"/>
      <w:szCs w:val="20"/>
    </w:rPr>
  </w:style>
  <w:style w:type="character" w:styleId="FootnoteReference">
    <w:name w:val="footnote reference"/>
    <w:basedOn w:val="DefaultParagraphFont"/>
    <w:uiPriority w:val="99"/>
    <w:semiHidden/>
    <w:unhideWhenUsed/>
    <w:rsid w:val="008B0B13"/>
    <w:rPr>
      <w:vertAlign w:val="superscript"/>
    </w:rPr>
  </w:style>
  <w:style w:type="paragraph" w:styleId="Revision">
    <w:name w:val="Revision"/>
    <w:hidden/>
    <w:uiPriority w:val="99"/>
    <w:semiHidden/>
    <w:rsid w:val="009E5770"/>
    <w:pPr>
      <w:spacing w:line="240" w:lineRule="auto"/>
    </w:pPr>
  </w:style>
  <w:style w:type="character" w:styleId="CommentReference">
    <w:name w:val="Comment Reference"/>
    <w:basedOn w:val="DefaultParagraphFont"/>
    <w:uiPriority w:val="99"/>
    <w:semiHidden/>
    <w:unhideWhenUsed/>
    <w:rsid w:val="00AD014D"/>
    <w:rPr>
      <w:sz w:val="16"/>
      <w:szCs w:val="16"/>
    </w:rPr>
  </w:style>
  <w:style w:type="paragraph" w:styleId="CommentText">
    <w:name w:val="Comment Text"/>
    <w:basedOn w:val="Normal"/>
    <w:link w:val="CommentTextChar"/>
    <w:uiPriority w:val="99"/>
    <w:unhideWhenUsed/>
    <w:rsid w:val="00AD014D"/>
    <w:pPr>
      <w:spacing w:line="240" w:lineRule="auto"/>
    </w:pPr>
    <w:rPr>
      <w:sz w:val="20"/>
      <w:szCs w:val="20"/>
    </w:rPr>
  </w:style>
  <w:style w:type="character" w:styleId="CommentTextChar" w:customStyle="1">
    <w:name w:val="Comment Text Char"/>
    <w:basedOn w:val="DefaultParagraphFont"/>
    <w:link w:val="CommentText"/>
    <w:uiPriority w:val="99"/>
    <w:rsid w:val="00AD014D"/>
    <w:rPr>
      <w:sz w:val="20"/>
      <w:szCs w:val="20"/>
    </w:rPr>
  </w:style>
  <w:style w:type="paragraph" w:styleId="CommentSubject">
    <w:name w:val="Comment Subject"/>
    <w:basedOn w:val="CommentText"/>
    <w:next w:val="CommentText"/>
    <w:link w:val="CommentSubjectChar"/>
    <w:uiPriority w:val="99"/>
    <w:semiHidden/>
    <w:unhideWhenUsed/>
    <w:rsid w:val="00AD014D"/>
    <w:rPr>
      <w:b/>
      <w:bCs/>
    </w:rPr>
  </w:style>
  <w:style w:type="character" w:styleId="CommentSubjectChar" w:customStyle="1">
    <w:name w:val="Comment Subject Char"/>
    <w:basedOn w:val="CommentTextChar"/>
    <w:link w:val="CommentSubject"/>
    <w:uiPriority w:val="99"/>
    <w:semiHidden/>
    <w:rsid w:val="00AD014D"/>
    <w:rPr>
      <w:b/>
      <w:bCs/>
      <w:sz w:val="20"/>
      <w:szCs w:val="20"/>
    </w:rPr>
  </w:style>
  <w:style w:type="character" w:styleId="Hyperlink">
    <w:name w:val="Hyperlink"/>
    <w:basedOn w:val="DefaultParagraphFont"/>
    <w:uiPriority w:val="99"/>
    <w:unhideWhenUsed/>
    <w:rsid w:val="00F7336C"/>
    <w:rPr>
      <w:color w:val="0000FF" w:themeColor="hyperlink"/>
      <w:u w:val="single"/>
    </w:rPr>
  </w:style>
  <w:style w:type="character" w:styleId="UnresolvedMention">
    <w:name w:val="Unresolved Mention"/>
    <w:basedOn w:val="DefaultParagraphFont"/>
    <w:uiPriority w:val="99"/>
    <w:semiHidden/>
    <w:unhideWhenUsed/>
    <w:rsid w:val="00F7336C"/>
    <w:rPr>
      <w:color w:val="605E5C"/>
      <w:shd w:val="clear" w:color="auto" w:fill="E1DFDD"/>
    </w:rPr>
  </w:style>
  <w:style w:type="character" w:styleId="FollowedHyperlink">
    <w:name w:val="FollowedHyperlink"/>
    <w:basedOn w:val="DefaultParagraphFont"/>
    <w:uiPriority w:val="99"/>
    <w:semiHidden/>
    <w:unhideWhenUsed/>
    <w:rsid w:val="001047E6"/>
    <w:rPr>
      <w:color w:val="800080" w:themeColor="followedHyperlink"/>
      <w:u w:val="single"/>
    </w:rPr>
  </w:style>
  <w:style w:type="character" w:styleId="apple-converted-space" w:customStyle="1">
    <w:name w:val="apple-converted-space"/>
    <w:basedOn w:val="DefaultParagraphFont"/>
    <w:rsid w:val="000C7706"/>
  </w:style>
  <w:style w:type="character" w:styleId="doi" w:customStyle="1">
    <w:name w:val="doi"/>
    <w:basedOn w:val="DefaultParagraphFont"/>
    <w:rsid w:val="000C7706"/>
  </w:style>
  <w:style w:type="character" w:styleId="title-text" w:customStyle="1">
    <w:name w:val="title-text"/>
    <w:basedOn w:val="DefaultParagraphFont"/>
    <w:rsid w:val="000C7706"/>
  </w:style>
  <w:style w:type="character" w:styleId="anchor-text" w:customStyle="1">
    <w:name w:val="anchor-text"/>
    <w:basedOn w:val="DefaultParagraphFont"/>
    <w:rsid w:val="000C7706"/>
  </w:style>
  <w:style w:type="paragraph" w:styleId="Bibliography">
    <w:name w:val="Bibliography"/>
    <w:basedOn w:val="Normal"/>
    <w:next w:val="Normal"/>
    <w:uiPriority w:val="37"/>
    <w:unhideWhenUsed/>
    <w:rsid w:val="000C7706"/>
    <w:pPr>
      <w:spacing w:after="160" w:line="259" w:lineRule="auto"/>
    </w:pPr>
    <w:rPr>
      <w:rFonts w:asciiTheme="minorHAnsi" w:hAnsiTheme="minorHAnsi" w:eastAsiaTheme="minorHAnsi" w:cstheme="minorBidi"/>
      <w:kern w:val="2"/>
      <w:lang w:val="en-GB"/>
      <w14:ligatures w14:val="standardContextual"/>
    </w:rPr>
  </w:style>
  <w:style w:type="paragraph" w:styleId="EndnoteText">
    <w:name w:val="endnote text"/>
    <w:basedOn w:val="Normal"/>
    <w:link w:val="EndnoteTextChar"/>
    <w:uiPriority w:val="99"/>
    <w:semiHidden/>
    <w:unhideWhenUsed/>
    <w:rsid w:val="002158A2"/>
    <w:pPr>
      <w:spacing w:line="240" w:lineRule="auto"/>
    </w:pPr>
    <w:rPr>
      <w:sz w:val="20"/>
      <w:szCs w:val="20"/>
    </w:rPr>
  </w:style>
  <w:style w:type="character" w:styleId="EndnoteTextChar" w:customStyle="1">
    <w:name w:val="Endnote Text Char"/>
    <w:basedOn w:val="DefaultParagraphFont"/>
    <w:link w:val="EndnoteText"/>
    <w:uiPriority w:val="99"/>
    <w:semiHidden/>
    <w:rsid w:val="002158A2"/>
    <w:rPr>
      <w:sz w:val="20"/>
      <w:szCs w:val="20"/>
    </w:rPr>
  </w:style>
  <w:style w:type="character" w:styleId="EndnoteReference">
    <w:name w:val="endnote reference"/>
    <w:basedOn w:val="DefaultParagraphFont"/>
    <w:uiPriority w:val="99"/>
    <w:semiHidden/>
    <w:unhideWhenUsed/>
    <w:rsid w:val="002158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99701">
      <w:bodyDiv w:val="1"/>
      <w:marLeft w:val="0"/>
      <w:marRight w:val="0"/>
      <w:marTop w:val="0"/>
      <w:marBottom w:val="0"/>
      <w:divBdr>
        <w:top w:val="none" w:sz="0" w:space="0" w:color="auto"/>
        <w:left w:val="none" w:sz="0" w:space="0" w:color="auto"/>
        <w:bottom w:val="none" w:sz="0" w:space="0" w:color="auto"/>
        <w:right w:val="none" w:sz="0" w:space="0" w:color="auto"/>
      </w:divBdr>
      <w:divsChild>
        <w:div w:id="1781298178">
          <w:marLeft w:val="0"/>
          <w:marRight w:val="0"/>
          <w:marTop w:val="0"/>
          <w:marBottom w:val="0"/>
          <w:divBdr>
            <w:top w:val="none" w:sz="0" w:space="0" w:color="auto"/>
            <w:left w:val="none" w:sz="0" w:space="0" w:color="auto"/>
            <w:bottom w:val="none" w:sz="0" w:space="0" w:color="auto"/>
            <w:right w:val="none" w:sz="0" w:space="0" w:color="auto"/>
          </w:divBdr>
          <w:divsChild>
            <w:div w:id="1894392136">
              <w:marLeft w:val="0"/>
              <w:marRight w:val="120"/>
              <w:marTop w:val="0"/>
              <w:marBottom w:val="0"/>
              <w:divBdr>
                <w:top w:val="none" w:sz="0" w:space="0" w:color="auto"/>
                <w:left w:val="none" w:sz="0" w:space="0" w:color="auto"/>
                <w:bottom w:val="none" w:sz="0" w:space="0" w:color="auto"/>
                <w:right w:val="none" w:sz="0" w:space="0" w:color="auto"/>
              </w:divBdr>
            </w:div>
          </w:divsChild>
        </w:div>
        <w:div w:id="1123958735">
          <w:marLeft w:val="0"/>
          <w:marRight w:val="0"/>
          <w:marTop w:val="0"/>
          <w:marBottom w:val="0"/>
          <w:divBdr>
            <w:top w:val="none" w:sz="0" w:space="0" w:color="auto"/>
            <w:left w:val="none" w:sz="0" w:space="0" w:color="auto"/>
            <w:bottom w:val="none" w:sz="0" w:space="0" w:color="auto"/>
            <w:right w:val="none" w:sz="0" w:space="0" w:color="auto"/>
          </w:divBdr>
          <w:divsChild>
            <w:div w:id="66428086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83768344">
      <w:bodyDiv w:val="1"/>
      <w:marLeft w:val="0"/>
      <w:marRight w:val="0"/>
      <w:marTop w:val="0"/>
      <w:marBottom w:val="0"/>
      <w:divBdr>
        <w:top w:val="none" w:sz="0" w:space="0" w:color="auto"/>
        <w:left w:val="none" w:sz="0" w:space="0" w:color="auto"/>
        <w:bottom w:val="none" w:sz="0" w:space="0" w:color="auto"/>
        <w:right w:val="none" w:sz="0" w:space="0" w:color="auto"/>
      </w:divBdr>
    </w:div>
    <w:div w:id="96142357">
      <w:bodyDiv w:val="1"/>
      <w:marLeft w:val="0"/>
      <w:marRight w:val="0"/>
      <w:marTop w:val="0"/>
      <w:marBottom w:val="0"/>
      <w:divBdr>
        <w:top w:val="none" w:sz="0" w:space="0" w:color="auto"/>
        <w:left w:val="none" w:sz="0" w:space="0" w:color="auto"/>
        <w:bottom w:val="none" w:sz="0" w:space="0" w:color="auto"/>
        <w:right w:val="none" w:sz="0" w:space="0" w:color="auto"/>
      </w:divBdr>
      <w:divsChild>
        <w:div w:id="1160577753">
          <w:marLeft w:val="0"/>
          <w:marRight w:val="0"/>
          <w:marTop w:val="0"/>
          <w:marBottom w:val="0"/>
          <w:divBdr>
            <w:top w:val="none" w:sz="0" w:space="0" w:color="auto"/>
            <w:left w:val="none" w:sz="0" w:space="0" w:color="auto"/>
            <w:bottom w:val="none" w:sz="0" w:space="0" w:color="auto"/>
            <w:right w:val="none" w:sz="0" w:space="0" w:color="auto"/>
          </w:divBdr>
          <w:divsChild>
            <w:div w:id="2114353099">
              <w:marLeft w:val="0"/>
              <w:marRight w:val="120"/>
              <w:marTop w:val="0"/>
              <w:marBottom w:val="0"/>
              <w:divBdr>
                <w:top w:val="none" w:sz="0" w:space="0" w:color="auto"/>
                <w:left w:val="none" w:sz="0" w:space="0" w:color="auto"/>
                <w:bottom w:val="none" w:sz="0" w:space="0" w:color="auto"/>
                <w:right w:val="none" w:sz="0" w:space="0" w:color="auto"/>
              </w:divBdr>
            </w:div>
          </w:divsChild>
        </w:div>
        <w:div w:id="633490591">
          <w:marLeft w:val="0"/>
          <w:marRight w:val="0"/>
          <w:marTop w:val="0"/>
          <w:marBottom w:val="0"/>
          <w:divBdr>
            <w:top w:val="none" w:sz="0" w:space="0" w:color="auto"/>
            <w:left w:val="none" w:sz="0" w:space="0" w:color="auto"/>
            <w:bottom w:val="none" w:sz="0" w:space="0" w:color="auto"/>
            <w:right w:val="none" w:sz="0" w:space="0" w:color="auto"/>
          </w:divBdr>
          <w:divsChild>
            <w:div w:id="136459258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20613724">
      <w:bodyDiv w:val="1"/>
      <w:marLeft w:val="0"/>
      <w:marRight w:val="0"/>
      <w:marTop w:val="0"/>
      <w:marBottom w:val="0"/>
      <w:divBdr>
        <w:top w:val="none" w:sz="0" w:space="0" w:color="auto"/>
        <w:left w:val="none" w:sz="0" w:space="0" w:color="auto"/>
        <w:bottom w:val="none" w:sz="0" w:space="0" w:color="auto"/>
        <w:right w:val="none" w:sz="0" w:space="0" w:color="auto"/>
      </w:divBdr>
    </w:div>
    <w:div w:id="205802776">
      <w:bodyDiv w:val="1"/>
      <w:marLeft w:val="0"/>
      <w:marRight w:val="0"/>
      <w:marTop w:val="0"/>
      <w:marBottom w:val="0"/>
      <w:divBdr>
        <w:top w:val="none" w:sz="0" w:space="0" w:color="auto"/>
        <w:left w:val="none" w:sz="0" w:space="0" w:color="auto"/>
        <w:bottom w:val="none" w:sz="0" w:space="0" w:color="auto"/>
        <w:right w:val="none" w:sz="0" w:space="0" w:color="auto"/>
      </w:divBdr>
    </w:div>
    <w:div w:id="479926122">
      <w:bodyDiv w:val="1"/>
      <w:marLeft w:val="0"/>
      <w:marRight w:val="0"/>
      <w:marTop w:val="0"/>
      <w:marBottom w:val="0"/>
      <w:divBdr>
        <w:top w:val="none" w:sz="0" w:space="0" w:color="auto"/>
        <w:left w:val="none" w:sz="0" w:space="0" w:color="auto"/>
        <w:bottom w:val="none" w:sz="0" w:space="0" w:color="auto"/>
        <w:right w:val="none" w:sz="0" w:space="0" w:color="auto"/>
      </w:divBdr>
    </w:div>
    <w:div w:id="519246173">
      <w:bodyDiv w:val="1"/>
      <w:marLeft w:val="0"/>
      <w:marRight w:val="0"/>
      <w:marTop w:val="0"/>
      <w:marBottom w:val="0"/>
      <w:divBdr>
        <w:top w:val="none" w:sz="0" w:space="0" w:color="auto"/>
        <w:left w:val="none" w:sz="0" w:space="0" w:color="auto"/>
        <w:bottom w:val="none" w:sz="0" w:space="0" w:color="auto"/>
        <w:right w:val="none" w:sz="0" w:space="0" w:color="auto"/>
      </w:divBdr>
    </w:div>
    <w:div w:id="525558012">
      <w:bodyDiv w:val="1"/>
      <w:marLeft w:val="0"/>
      <w:marRight w:val="0"/>
      <w:marTop w:val="0"/>
      <w:marBottom w:val="0"/>
      <w:divBdr>
        <w:top w:val="none" w:sz="0" w:space="0" w:color="auto"/>
        <w:left w:val="none" w:sz="0" w:space="0" w:color="auto"/>
        <w:bottom w:val="none" w:sz="0" w:space="0" w:color="auto"/>
        <w:right w:val="none" w:sz="0" w:space="0" w:color="auto"/>
      </w:divBdr>
    </w:div>
    <w:div w:id="597951317">
      <w:bodyDiv w:val="1"/>
      <w:marLeft w:val="0"/>
      <w:marRight w:val="0"/>
      <w:marTop w:val="0"/>
      <w:marBottom w:val="0"/>
      <w:divBdr>
        <w:top w:val="none" w:sz="0" w:space="0" w:color="auto"/>
        <w:left w:val="none" w:sz="0" w:space="0" w:color="auto"/>
        <w:bottom w:val="none" w:sz="0" w:space="0" w:color="auto"/>
        <w:right w:val="none" w:sz="0" w:space="0" w:color="auto"/>
      </w:divBdr>
    </w:div>
    <w:div w:id="601227419">
      <w:bodyDiv w:val="1"/>
      <w:marLeft w:val="0"/>
      <w:marRight w:val="0"/>
      <w:marTop w:val="0"/>
      <w:marBottom w:val="0"/>
      <w:divBdr>
        <w:top w:val="none" w:sz="0" w:space="0" w:color="auto"/>
        <w:left w:val="none" w:sz="0" w:space="0" w:color="auto"/>
        <w:bottom w:val="none" w:sz="0" w:space="0" w:color="auto"/>
        <w:right w:val="none" w:sz="0" w:space="0" w:color="auto"/>
      </w:divBdr>
    </w:div>
    <w:div w:id="603029193">
      <w:bodyDiv w:val="1"/>
      <w:marLeft w:val="0"/>
      <w:marRight w:val="0"/>
      <w:marTop w:val="0"/>
      <w:marBottom w:val="0"/>
      <w:divBdr>
        <w:top w:val="none" w:sz="0" w:space="0" w:color="auto"/>
        <w:left w:val="none" w:sz="0" w:space="0" w:color="auto"/>
        <w:bottom w:val="none" w:sz="0" w:space="0" w:color="auto"/>
        <w:right w:val="none" w:sz="0" w:space="0" w:color="auto"/>
      </w:divBdr>
    </w:div>
    <w:div w:id="618533557">
      <w:bodyDiv w:val="1"/>
      <w:marLeft w:val="0"/>
      <w:marRight w:val="0"/>
      <w:marTop w:val="0"/>
      <w:marBottom w:val="0"/>
      <w:divBdr>
        <w:top w:val="none" w:sz="0" w:space="0" w:color="auto"/>
        <w:left w:val="none" w:sz="0" w:space="0" w:color="auto"/>
        <w:bottom w:val="none" w:sz="0" w:space="0" w:color="auto"/>
        <w:right w:val="none" w:sz="0" w:space="0" w:color="auto"/>
      </w:divBdr>
      <w:divsChild>
        <w:div w:id="119541906">
          <w:marLeft w:val="0"/>
          <w:marRight w:val="0"/>
          <w:marTop w:val="0"/>
          <w:marBottom w:val="0"/>
          <w:divBdr>
            <w:top w:val="none" w:sz="0" w:space="0" w:color="auto"/>
            <w:left w:val="none" w:sz="0" w:space="0" w:color="auto"/>
            <w:bottom w:val="none" w:sz="0" w:space="0" w:color="auto"/>
            <w:right w:val="none" w:sz="0" w:space="0" w:color="auto"/>
          </w:divBdr>
          <w:divsChild>
            <w:div w:id="1538810894">
              <w:marLeft w:val="0"/>
              <w:marRight w:val="120"/>
              <w:marTop w:val="0"/>
              <w:marBottom w:val="0"/>
              <w:divBdr>
                <w:top w:val="none" w:sz="0" w:space="0" w:color="auto"/>
                <w:left w:val="none" w:sz="0" w:space="0" w:color="auto"/>
                <w:bottom w:val="none" w:sz="0" w:space="0" w:color="auto"/>
                <w:right w:val="none" w:sz="0" w:space="0" w:color="auto"/>
              </w:divBdr>
            </w:div>
          </w:divsChild>
        </w:div>
        <w:div w:id="1830779550">
          <w:marLeft w:val="0"/>
          <w:marRight w:val="0"/>
          <w:marTop w:val="0"/>
          <w:marBottom w:val="0"/>
          <w:divBdr>
            <w:top w:val="none" w:sz="0" w:space="0" w:color="auto"/>
            <w:left w:val="none" w:sz="0" w:space="0" w:color="auto"/>
            <w:bottom w:val="none" w:sz="0" w:space="0" w:color="auto"/>
            <w:right w:val="none" w:sz="0" w:space="0" w:color="auto"/>
          </w:divBdr>
          <w:divsChild>
            <w:div w:id="71709612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651756812">
      <w:bodyDiv w:val="1"/>
      <w:marLeft w:val="0"/>
      <w:marRight w:val="0"/>
      <w:marTop w:val="0"/>
      <w:marBottom w:val="0"/>
      <w:divBdr>
        <w:top w:val="none" w:sz="0" w:space="0" w:color="auto"/>
        <w:left w:val="none" w:sz="0" w:space="0" w:color="auto"/>
        <w:bottom w:val="none" w:sz="0" w:space="0" w:color="auto"/>
        <w:right w:val="none" w:sz="0" w:space="0" w:color="auto"/>
      </w:divBdr>
    </w:div>
    <w:div w:id="848443726">
      <w:bodyDiv w:val="1"/>
      <w:marLeft w:val="0"/>
      <w:marRight w:val="0"/>
      <w:marTop w:val="0"/>
      <w:marBottom w:val="0"/>
      <w:divBdr>
        <w:top w:val="none" w:sz="0" w:space="0" w:color="auto"/>
        <w:left w:val="none" w:sz="0" w:space="0" w:color="auto"/>
        <w:bottom w:val="none" w:sz="0" w:space="0" w:color="auto"/>
        <w:right w:val="none" w:sz="0" w:space="0" w:color="auto"/>
      </w:divBdr>
      <w:divsChild>
        <w:div w:id="93792030">
          <w:marLeft w:val="0"/>
          <w:marRight w:val="0"/>
          <w:marTop w:val="0"/>
          <w:marBottom w:val="0"/>
          <w:divBdr>
            <w:top w:val="none" w:sz="0" w:space="0" w:color="auto"/>
            <w:left w:val="none" w:sz="0" w:space="0" w:color="auto"/>
            <w:bottom w:val="none" w:sz="0" w:space="0" w:color="auto"/>
            <w:right w:val="none" w:sz="0" w:space="0" w:color="auto"/>
          </w:divBdr>
          <w:divsChild>
            <w:div w:id="1236159553">
              <w:marLeft w:val="0"/>
              <w:marRight w:val="120"/>
              <w:marTop w:val="0"/>
              <w:marBottom w:val="0"/>
              <w:divBdr>
                <w:top w:val="none" w:sz="0" w:space="0" w:color="auto"/>
                <w:left w:val="none" w:sz="0" w:space="0" w:color="auto"/>
                <w:bottom w:val="none" w:sz="0" w:space="0" w:color="auto"/>
                <w:right w:val="none" w:sz="0" w:space="0" w:color="auto"/>
              </w:divBdr>
            </w:div>
          </w:divsChild>
        </w:div>
        <w:div w:id="1541045151">
          <w:marLeft w:val="0"/>
          <w:marRight w:val="0"/>
          <w:marTop w:val="0"/>
          <w:marBottom w:val="0"/>
          <w:divBdr>
            <w:top w:val="none" w:sz="0" w:space="0" w:color="auto"/>
            <w:left w:val="none" w:sz="0" w:space="0" w:color="auto"/>
            <w:bottom w:val="none" w:sz="0" w:space="0" w:color="auto"/>
            <w:right w:val="none" w:sz="0" w:space="0" w:color="auto"/>
          </w:divBdr>
          <w:divsChild>
            <w:div w:id="120239609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951087339">
      <w:bodyDiv w:val="1"/>
      <w:marLeft w:val="0"/>
      <w:marRight w:val="0"/>
      <w:marTop w:val="0"/>
      <w:marBottom w:val="0"/>
      <w:divBdr>
        <w:top w:val="none" w:sz="0" w:space="0" w:color="auto"/>
        <w:left w:val="none" w:sz="0" w:space="0" w:color="auto"/>
        <w:bottom w:val="none" w:sz="0" w:space="0" w:color="auto"/>
        <w:right w:val="none" w:sz="0" w:space="0" w:color="auto"/>
      </w:divBdr>
      <w:divsChild>
        <w:div w:id="1860967796">
          <w:marLeft w:val="0"/>
          <w:marRight w:val="0"/>
          <w:marTop w:val="0"/>
          <w:marBottom w:val="0"/>
          <w:divBdr>
            <w:top w:val="none" w:sz="0" w:space="0" w:color="auto"/>
            <w:left w:val="none" w:sz="0" w:space="0" w:color="auto"/>
            <w:bottom w:val="none" w:sz="0" w:space="0" w:color="auto"/>
            <w:right w:val="none" w:sz="0" w:space="0" w:color="auto"/>
          </w:divBdr>
          <w:divsChild>
            <w:div w:id="2099784977">
              <w:marLeft w:val="0"/>
              <w:marRight w:val="120"/>
              <w:marTop w:val="0"/>
              <w:marBottom w:val="0"/>
              <w:divBdr>
                <w:top w:val="none" w:sz="0" w:space="0" w:color="auto"/>
                <w:left w:val="none" w:sz="0" w:space="0" w:color="auto"/>
                <w:bottom w:val="none" w:sz="0" w:space="0" w:color="auto"/>
                <w:right w:val="none" w:sz="0" w:space="0" w:color="auto"/>
              </w:divBdr>
            </w:div>
          </w:divsChild>
        </w:div>
        <w:div w:id="808479523">
          <w:marLeft w:val="0"/>
          <w:marRight w:val="0"/>
          <w:marTop w:val="0"/>
          <w:marBottom w:val="0"/>
          <w:divBdr>
            <w:top w:val="none" w:sz="0" w:space="0" w:color="auto"/>
            <w:left w:val="none" w:sz="0" w:space="0" w:color="auto"/>
            <w:bottom w:val="none" w:sz="0" w:space="0" w:color="auto"/>
            <w:right w:val="none" w:sz="0" w:space="0" w:color="auto"/>
          </w:divBdr>
          <w:divsChild>
            <w:div w:id="5400892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971180120">
      <w:bodyDiv w:val="1"/>
      <w:marLeft w:val="0"/>
      <w:marRight w:val="0"/>
      <w:marTop w:val="0"/>
      <w:marBottom w:val="0"/>
      <w:divBdr>
        <w:top w:val="none" w:sz="0" w:space="0" w:color="auto"/>
        <w:left w:val="none" w:sz="0" w:space="0" w:color="auto"/>
        <w:bottom w:val="none" w:sz="0" w:space="0" w:color="auto"/>
        <w:right w:val="none" w:sz="0" w:space="0" w:color="auto"/>
      </w:divBdr>
    </w:div>
    <w:div w:id="1011955188">
      <w:bodyDiv w:val="1"/>
      <w:marLeft w:val="0"/>
      <w:marRight w:val="0"/>
      <w:marTop w:val="0"/>
      <w:marBottom w:val="0"/>
      <w:divBdr>
        <w:top w:val="none" w:sz="0" w:space="0" w:color="auto"/>
        <w:left w:val="none" w:sz="0" w:space="0" w:color="auto"/>
        <w:bottom w:val="none" w:sz="0" w:space="0" w:color="auto"/>
        <w:right w:val="none" w:sz="0" w:space="0" w:color="auto"/>
      </w:divBdr>
    </w:div>
    <w:div w:id="1046375180">
      <w:bodyDiv w:val="1"/>
      <w:marLeft w:val="0"/>
      <w:marRight w:val="0"/>
      <w:marTop w:val="0"/>
      <w:marBottom w:val="0"/>
      <w:divBdr>
        <w:top w:val="none" w:sz="0" w:space="0" w:color="auto"/>
        <w:left w:val="none" w:sz="0" w:space="0" w:color="auto"/>
        <w:bottom w:val="none" w:sz="0" w:space="0" w:color="auto"/>
        <w:right w:val="none" w:sz="0" w:space="0" w:color="auto"/>
      </w:divBdr>
    </w:div>
    <w:div w:id="1206328294">
      <w:bodyDiv w:val="1"/>
      <w:marLeft w:val="0"/>
      <w:marRight w:val="0"/>
      <w:marTop w:val="0"/>
      <w:marBottom w:val="0"/>
      <w:divBdr>
        <w:top w:val="none" w:sz="0" w:space="0" w:color="auto"/>
        <w:left w:val="none" w:sz="0" w:space="0" w:color="auto"/>
        <w:bottom w:val="none" w:sz="0" w:space="0" w:color="auto"/>
        <w:right w:val="none" w:sz="0" w:space="0" w:color="auto"/>
      </w:divBdr>
    </w:div>
    <w:div w:id="1350448045">
      <w:bodyDiv w:val="1"/>
      <w:marLeft w:val="0"/>
      <w:marRight w:val="0"/>
      <w:marTop w:val="0"/>
      <w:marBottom w:val="0"/>
      <w:divBdr>
        <w:top w:val="none" w:sz="0" w:space="0" w:color="auto"/>
        <w:left w:val="none" w:sz="0" w:space="0" w:color="auto"/>
        <w:bottom w:val="none" w:sz="0" w:space="0" w:color="auto"/>
        <w:right w:val="none" w:sz="0" w:space="0" w:color="auto"/>
      </w:divBdr>
    </w:div>
    <w:div w:id="1387296296">
      <w:bodyDiv w:val="1"/>
      <w:marLeft w:val="0"/>
      <w:marRight w:val="0"/>
      <w:marTop w:val="0"/>
      <w:marBottom w:val="0"/>
      <w:divBdr>
        <w:top w:val="none" w:sz="0" w:space="0" w:color="auto"/>
        <w:left w:val="none" w:sz="0" w:space="0" w:color="auto"/>
        <w:bottom w:val="none" w:sz="0" w:space="0" w:color="auto"/>
        <w:right w:val="none" w:sz="0" w:space="0" w:color="auto"/>
      </w:divBdr>
    </w:div>
    <w:div w:id="1423989251">
      <w:bodyDiv w:val="1"/>
      <w:marLeft w:val="0"/>
      <w:marRight w:val="0"/>
      <w:marTop w:val="0"/>
      <w:marBottom w:val="0"/>
      <w:divBdr>
        <w:top w:val="none" w:sz="0" w:space="0" w:color="auto"/>
        <w:left w:val="none" w:sz="0" w:space="0" w:color="auto"/>
        <w:bottom w:val="none" w:sz="0" w:space="0" w:color="auto"/>
        <w:right w:val="none" w:sz="0" w:space="0" w:color="auto"/>
      </w:divBdr>
      <w:divsChild>
        <w:div w:id="743601408">
          <w:marLeft w:val="0"/>
          <w:marRight w:val="0"/>
          <w:marTop w:val="0"/>
          <w:marBottom w:val="0"/>
          <w:divBdr>
            <w:top w:val="none" w:sz="0" w:space="0" w:color="auto"/>
            <w:left w:val="none" w:sz="0" w:space="0" w:color="auto"/>
            <w:bottom w:val="none" w:sz="0" w:space="0" w:color="auto"/>
            <w:right w:val="none" w:sz="0" w:space="0" w:color="auto"/>
          </w:divBdr>
          <w:divsChild>
            <w:div w:id="1945069713">
              <w:marLeft w:val="0"/>
              <w:marRight w:val="120"/>
              <w:marTop w:val="0"/>
              <w:marBottom w:val="0"/>
              <w:divBdr>
                <w:top w:val="none" w:sz="0" w:space="0" w:color="auto"/>
                <w:left w:val="none" w:sz="0" w:space="0" w:color="auto"/>
                <w:bottom w:val="none" w:sz="0" w:space="0" w:color="auto"/>
                <w:right w:val="none" w:sz="0" w:space="0" w:color="auto"/>
              </w:divBdr>
            </w:div>
          </w:divsChild>
        </w:div>
        <w:div w:id="931009303">
          <w:marLeft w:val="0"/>
          <w:marRight w:val="0"/>
          <w:marTop w:val="0"/>
          <w:marBottom w:val="0"/>
          <w:divBdr>
            <w:top w:val="none" w:sz="0" w:space="0" w:color="auto"/>
            <w:left w:val="none" w:sz="0" w:space="0" w:color="auto"/>
            <w:bottom w:val="none" w:sz="0" w:space="0" w:color="auto"/>
            <w:right w:val="none" w:sz="0" w:space="0" w:color="auto"/>
          </w:divBdr>
          <w:divsChild>
            <w:div w:id="104159494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466384539">
      <w:bodyDiv w:val="1"/>
      <w:marLeft w:val="0"/>
      <w:marRight w:val="0"/>
      <w:marTop w:val="0"/>
      <w:marBottom w:val="0"/>
      <w:divBdr>
        <w:top w:val="none" w:sz="0" w:space="0" w:color="auto"/>
        <w:left w:val="none" w:sz="0" w:space="0" w:color="auto"/>
        <w:bottom w:val="none" w:sz="0" w:space="0" w:color="auto"/>
        <w:right w:val="none" w:sz="0" w:space="0" w:color="auto"/>
      </w:divBdr>
    </w:div>
    <w:div w:id="1481194820">
      <w:bodyDiv w:val="1"/>
      <w:marLeft w:val="0"/>
      <w:marRight w:val="0"/>
      <w:marTop w:val="0"/>
      <w:marBottom w:val="0"/>
      <w:divBdr>
        <w:top w:val="none" w:sz="0" w:space="0" w:color="auto"/>
        <w:left w:val="none" w:sz="0" w:space="0" w:color="auto"/>
        <w:bottom w:val="none" w:sz="0" w:space="0" w:color="auto"/>
        <w:right w:val="none" w:sz="0" w:space="0" w:color="auto"/>
      </w:divBdr>
    </w:div>
    <w:div w:id="1489517720">
      <w:bodyDiv w:val="1"/>
      <w:marLeft w:val="0"/>
      <w:marRight w:val="0"/>
      <w:marTop w:val="0"/>
      <w:marBottom w:val="0"/>
      <w:divBdr>
        <w:top w:val="none" w:sz="0" w:space="0" w:color="auto"/>
        <w:left w:val="none" w:sz="0" w:space="0" w:color="auto"/>
        <w:bottom w:val="none" w:sz="0" w:space="0" w:color="auto"/>
        <w:right w:val="none" w:sz="0" w:space="0" w:color="auto"/>
      </w:divBdr>
    </w:div>
    <w:div w:id="1508599195">
      <w:bodyDiv w:val="1"/>
      <w:marLeft w:val="0"/>
      <w:marRight w:val="0"/>
      <w:marTop w:val="0"/>
      <w:marBottom w:val="0"/>
      <w:divBdr>
        <w:top w:val="none" w:sz="0" w:space="0" w:color="auto"/>
        <w:left w:val="none" w:sz="0" w:space="0" w:color="auto"/>
        <w:bottom w:val="none" w:sz="0" w:space="0" w:color="auto"/>
        <w:right w:val="none" w:sz="0" w:space="0" w:color="auto"/>
      </w:divBdr>
    </w:div>
    <w:div w:id="1510833700">
      <w:bodyDiv w:val="1"/>
      <w:marLeft w:val="0"/>
      <w:marRight w:val="0"/>
      <w:marTop w:val="0"/>
      <w:marBottom w:val="0"/>
      <w:divBdr>
        <w:top w:val="none" w:sz="0" w:space="0" w:color="auto"/>
        <w:left w:val="none" w:sz="0" w:space="0" w:color="auto"/>
        <w:bottom w:val="none" w:sz="0" w:space="0" w:color="auto"/>
        <w:right w:val="none" w:sz="0" w:space="0" w:color="auto"/>
      </w:divBdr>
    </w:div>
    <w:div w:id="1564951732">
      <w:bodyDiv w:val="1"/>
      <w:marLeft w:val="0"/>
      <w:marRight w:val="0"/>
      <w:marTop w:val="0"/>
      <w:marBottom w:val="0"/>
      <w:divBdr>
        <w:top w:val="none" w:sz="0" w:space="0" w:color="auto"/>
        <w:left w:val="none" w:sz="0" w:space="0" w:color="auto"/>
        <w:bottom w:val="none" w:sz="0" w:space="0" w:color="auto"/>
        <w:right w:val="none" w:sz="0" w:space="0" w:color="auto"/>
      </w:divBdr>
    </w:div>
    <w:div w:id="1727223554">
      <w:bodyDiv w:val="1"/>
      <w:marLeft w:val="0"/>
      <w:marRight w:val="0"/>
      <w:marTop w:val="0"/>
      <w:marBottom w:val="0"/>
      <w:divBdr>
        <w:top w:val="none" w:sz="0" w:space="0" w:color="auto"/>
        <w:left w:val="none" w:sz="0" w:space="0" w:color="auto"/>
        <w:bottom w:val="none" w:sz="0" w:space="0" w:color="auto"/>
        <w:right w:val="none" w:sz="0" w:space="0" w:color="auto"/>
      </w:divBdr>
    </w:div>
    <w:div w:id="1841651663">
      <w:bodyDiv w:val="1"/>
      <w:marLeft w:val="0"/>
      <w:marRight w:val="0"/>
      <w:marTop w:val="0"/>
      <w:marBottom w:val="0"/>
      <w:divBdr>
        <w:top w:val="none" w:sz="0" w:space="0" w:color="auto"/>
        <w:left w:val="none" w:sz="0" w:space="0" w:color="auto"/>
        <w:bottom w:val="none" w:sz="0" w:space="0" w:color="auto"/>
        <w:right w:val="none" w:sz="0" w:space="0" w:color="auto"/>
      </w:divBdr>
    </w:div>
    <w:div w:id="1842961540">
      <w:bodyDiv w:val="1"/>
      <w:marLeft w:val="0"/>
      <w:marRight w:val="0"/>
      <w:marTop w:val="0"/>
      <w:marBottom w:val="0"/>
      <w:divBdr>
        <w:top w:val="none" w:sz="0" w:space="0" w:color="auto"/>
        <w:left w:val="none" w:sz="0" w:space="0" w:color="auto"/>
        <w:bottom w:val="none" w:sz="0" w:space="0" w:color="auto"/>
        <w:right w:val="none" w:sz="0" w:space="0" w:color="auto"/>
      </w:divBdr>
    </w:div>
    <w:div w:id="1919171599">
      <w:bodyDiv w:val="1"/>
      <w:marLeft w:val="0"/>
      <w:marRight w:val="0"/>
      <w:marTop w:val="0"/>
      <w:marBottom w:val="0"/>
      <w:divBdr>
        <w:top w:val="none" w:sz="0" w:space="0" w:color="auto"/>
        <w:left w:val="none" w:sz="0" w:space="0" w:color="auto"/>
        <w:bottom w:val="none" w:sz="0" w:space="0" w:color="auto"/>
        <w:right w:val="none" w:sz="0" w:space="0" w:color="auto"/>
      </w:divBdr>
    </w:div>
    <w:div w:id="2076659665">
      <w:bodyDiv w:val="1"/>
      <w:marLeft w:val="0"/>
      <w:marRight w:val="0"/>
      <w:marTop w:val="0"/>
      <w:marBottom w:val="0"/>
      <w:divBdr>
        <w:top w:val="none" w:sz="0" w:space="0" w:color="auto"/>
        <w:left w:val="none" w:sz="0" w:space="0" w:color="auto"/>
        <w:bottom w:val="none" w:sz="0" w:space="0" w:color="auto"/>
        <w:right w:val="none" w:sz="0" w:space="0" w:color="auto"/>
      </w:divBdr>
    </w:div>
    <w:div w:id="21367539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www.youtube.com/watch?v=9Ie8SMVvy1Y" TargetMode="External" Id="rId8" /><Relationship Type="http://schemas.openxmlformats.org/officeDocument/2006/relationships/hyperlink" Target="https://www.gov.scot/publications/vaccine-inclusion-phase-one-covid-19-vaccination-programme/pages/3/" TargetMode="External" Id="rId13" /><Relationship Type="http://schemas.openxmlformats.org/officeDocument/2006/relationships/footer" Target="footer2.xml" Id="rId18" /><Relationship Type="http://schemas.openxmlformats.org/officeDocument/2006/relationships/settings" Target="settings.xml" Id="rId3" /><Relationship Type="http://schemas.openxmlformats.org/officeDocument/2006/relationships/hyperlink" Target="https://youtu.be/h1yNAZffpOg" TargetMode="External" Id="rId7" /><Relationship Type="http://schemas.openxmlformats.org/officeDocument/2006/relationships/hyperlink" Target="https://www.oecd.org/en/topics/sub-issues/trust-in-government.html" TargetMode="External" Id="rId12" /><Relationship Type="http://schemas.openxmlformats.org/officeDocument/2006/relationships/footer" Target="footer1.xml" Id="rId17" /><Relationship Type="http://schemas.openxmlformats.org/officeDocument/2006/relationships/styles" Target="styles.xml" Id="rId2" /><Relationship Type="http://schemas.openxmlformats.org/officeDocument/2006/relationships/hyperlink" Target="https://www.who.int/health-topics/infodemic" TargetMode="External" Id="rId16" /><Relationship Type="http://schemas.openxmlformats.org/officeDocument/2006/relationships/theme" Target="theme/theme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nhsrho.org/wp-content/uploads/2022/02/RHO-Rapid-Review-Final-Report_v.7.pdf" TargetMode="External" Id="rId11" /><Relationship Type="http://schemas.openxmlformats.org/officeDocument/2006/relationships/footnotes" Target="footnotes.xml" Id="rId5" /><Relationship Type="http://schemas.openxmlformats.org/officeDocument/2006/relationships/hyperlink" Target="https://www.un.org/sites/un2.un.org/files/our-common-agenda-policy-brief-information-integrity-en.pdf" TargetMode="External" Id="rId15" /><Relationship Type="http://schemas.openxmlformats.org/officeDocument/2006/relationships/hyperlink" Target="https://doi.org/10.31887/DCNS.2020.22.2/mkorte" TargetMode="External" Id="rId10" /><Relationship Type="http://schemas.openxmlformats.org/officeDocument/2006/relationships/fontTable" Target="fontTable.xml" Id="rId19" /><Relationship Type="http://schemas.openxmlformats.org/officeDocument/2006/relationships/webSettings" Target="webSettings.xml" Id="rId4" /><Relationship Type="http://schemas.openxmlformats.org/officeDocument/2006/relationships/hyperlink" Target="https://doi.org/10.1038/s44159-021-00006-y" TargetMode="External" Id="rId9" /><Relationship Type="http://schemas.openxmlformats.org/officeDocument/2006/relationships/hyperlink" Target="https://blackequityorg.com/state-of-black-britain-report/" TargetMode="External" Id="rId14" /><Relationship Type="http://schemas.openxmlformats.org/officeDocument/2006/relationships/hyperlink" Target="https://www.pewresearch.org/science/2022/02/15/americans-trust-in-scientists-other-groups-declines/" TargetMode="External" Id="R28154ffc867047d6" /></Relationships>
</file>

<file path=word/_rels/endnotes.xml.rels><?xml version="1.0" encoding="UTF-8" standalone="yes"?>
<Relationships xmlns="http://schemas.openxmlformats.org/package/2006/relationships"><Relationship Id="rId3" Type="http://schemas.openxmlformats.org/officeDocument/2006/relationships/hyperlink" Target="https://www.oecd.org/en/topics/sub-issues/trust-in-government.html" TargetMode="External"/><Relationship Id="rId2" Type="http://schemas.openxmlformats.org/officeDocument/2006/relationships/hyperlink" Target="https://www.who.int/health-topics/infodemic" TargetMode="External"/><Relationship Id="rId1" Type="http://schemas.openxmlformats.org/officeDocument/2006/relationships/hyperlink" Target="https://www.un.org/sites/un2.un.org/files/our-common-agenda-policy-brief-information-integrity-en.pdf" TargetMode="External"/><Relationship Id="rId5" Type="http://schemas.openxmlformats.org/officeDocument/2006/relationships/hyperlink" Target="https://www.gov.scot/publications/vaccine-inclusion-phase-one-covid-19-vaccination-programme/pages/3/" TargetMode="External"/><Relationship Id="rId4" Type="http://schemas.openxmlformats.org/officeDocument/2006/relationships/hyperlink" Target="https://www.pewresearch.org/science/2022/02/15/americans-trust-in-scientists-other-groups-dec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Josephine Adekola</dc:creator>
  <lastModifiedBy>Lucy McDonald</lastModifiedBy>
  <revision>31</revision>
  <dcterms:created xsi:type="dcterms:W3CDTF">2024-12-13T09:31:00.0000000Z</dcterms:created>
  <dcterms:modified xsi:type="dcterms:W3CDTF">2026-06-16T16:23:08.6089405Z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cc5f0d2efe7a7f789d99dcd50e73943fa9f28405f52037e9eb209561bc477598</vt:lpwstr>
  </property>
</Properties>
</file>